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0B2" w:rsidRDefault="00A95B27">
      <w:pPr>
        <w:spacing w:line="560" w:lineRule="exact"/>
        <w:ind w:firstLineChars="50" w:firstLine="120"/>
        <w:rPr>
          <w:rFonts w:ascii="宋体" w:hAnsi="宋体"/>
          <w:sz w:val="24"/>
        </w:rPr>
      </w:pPr>
      <w:bookmarkStart w:id="0" w:name="_GoBack"/>
      <w:bookmarkEnd w:id="0"/>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w:t>
      </w:r>
      <w:r>
        <w:rPr>
          <w:rFonts w:ascii="宋体" w:hAnsi="宋体" w:cs="宋体" w:hint="eastAsia"/>
          <w:sz w:val="24"/>
        </w:rPr>
        <w:t>证券简称：渤海股份</w:t>
      </w:r>
      <w:r>
        <w:rPr>
          <w:rFonts w:ascii="宋体" w:hAnsi="宋体" w:cs="宋体" w:hint="eastAsia"/>
          <w:sz w:val="24"/>
        </w:rPr>
        <w:t xml:space="preserve"> </w:t>
      </w:r>
      <w:r>
        <w:rPr>
          <w:rFonts w:ascii="宋体" w:hAnsi="宋体" w:hint="eastAsia"/>
          <w:sz w:val="24"/>
        </w:rPr>
        <w:t xml:space="preserve">       </w:t>
      </w:r>
      <w:r>
        <w:rPr>
          <w:rFonts w:ascii="宋体" w:hAnsi="宋体" w:cs="宋体" w:hint="eastAsia"/>
          <w:sz w:val="24"/>
        </w:rPr>
        <w:t>公告编号：</w:t>
      </w:r>
      <w:r>
        <w:rPr>
          <w:sz w:val="24"/>
        </w:rPr>
        <w:t>2024-</w:t>
      </w:r>
      <w:r>
        <w:rPr>
          <w:rFonts w:hint="eastAsia"/>
          <w:sz w:val="24"/>
        </w:rPr>
        <w:t>0</w:t>
      </w:r>
      <w:r>
        <w:rPr>
          <w:sz w:val="24"/>
        </w:rPr>
        <w:t>07</w:t>
      </w:r>
    </w:p>
    <w:p w:rsidR="00A610B2" w:rsidRDefault="00A610B2">
      <w:pPr>
        <w:rPr>
          <w:rFonts w:ascii="宋体" w:hAnsi="宋体" w:cs="宋体"/>
          <w:color w:val="000000"/>
          <w:kern w:val="0"/>
          <w:sz w:val="24"/>
        </w:rPr>
      </w:pPr>
    </w:p>
    <w:p w:rsidR="00A610B2" w:rsidRDefault="00A95B27">
      <w:pPr>
        <w:jc w:val="center"/>
        <w:rPr>
          <w:rFonts w:ascii="宋体" w:hAnsi="宋体" w:cs="宋体"/>
          <w:b/>
          <w:sz w:val="32"/>
          <w:szCs w:val="20"/>
        </w:rPr>
      </w:pPr>
      <w:r>
        <w:rPr>
          <w:rFonts w:ascii="宋体" w:hAnsi="宋体" w:cs="宋体" w:hint="eastAsia"/>
          <w:b/>
          <w:sz w:val="32"/>
        </w:rPr>
        <w:t>渤海水业股份有限公司</w:t>
      </w:r>
    </w:p>
    <w:p w:rsidR="00A610B2" w:rsidRDefault="00A95B27">
      <w:pPr>
        <w:spacing w:line="560" w:lineRule="exact"/>
        <w:jc w:val="center"/>
        <w:rPr>
          <w:rFonts w:ascii="宋体" w:hAnsi="宋体" w:cs="宋体"/>
          <w:b/>
          <w:sz w:val="36"/>
          <w:szCs w:val="36"/>
        </w:rPr>
      </w:pPr>
      <w:r>
        <w:rPr>
          <w:b/>
          <w:color w:val="000000" w:themeColor="text1"/>
          <w:sz w:val="32"/>
        </w:rPr>
        <w:t>关于公司</w:t>
      </w:r>
      <w:r>
        <w:rPr>
          <w:rFonts w:ascii="宋体" w:hAnsi="宋体" w:cs="宋体" w:hint="eastAsia"/>
          <w:noProof/>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997585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rsidR="00A610B2" w:rsidRDefault="00A95B27">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top:78.55pt;height:53.05pt;width:413.95pt;mso-position-horizontal:left;mso-position-horizontal-relative:margin;mso-wrap-distance-bottom:0pt;mso-wrap-distance-left:9pt;mso-wrap-distance-right:9pt;mso-wrap-distance-top:0pt;z-index:251659264;mso-width-relative:page;mso-height-relative:page;" fillcolor="#FFFFFF" filled="t" stroked="t" coordsize="21600,21600" o:gfxdata="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Z2kpE2QAAAAgBAAAPAAAAAAAAAAEAIAAA&#10;ACIAAABkcnMvZG93bnJldi54bWxQSwECFAAUAAAACACHTuJAK3gSgUQCAACHBAAADgAAAAAAAAAB&#10;ACAAAAAoAQAAZHJzL2Uyb0RvYy54bWxQSwUGAAAAAAYABgBZAQAA3gUAAAAA&#10;">
                <v:fill on="t" focussize="0,0"/>
                <v:stroke color="#000000" miterlimit="2" joinstyle="miter"/>
                <v:imagedata o:title=""/>
                <o:lock v:ext="edit" aspectratio="f"/>
                <v:textbox>
                  <w:txbxContent>
                    <w:p>
                      <w:pPr>
                        <w:spacing w:line="360" w:lineRule="auto"/>
                        <w:ind w:firstLine="482" w:firstLineChars="200"/>
                        <w:rPr>
                          <w:rFonts w:ascii="宋体"/>
                          <w:b/>
                          <w:sz w:val="24"/>
                        </w:rPr>
                      </w:pPr>
                      <w:r>
                        <w:rPr>
                          <w:rFonts w:hint="eastAsia" w:ascii="宋体" w:hAnsi="宋体" w:cs="宋体"/>
                          <w:b/>
                          <w:sz w:val="24"/>
                        </w:rPr>
                        <w:t>本公司及董事会全体成员保证公告内容的真实、准确和完整，没有虚假记载、误导性陈述或者重大遗漏。</w:t>
                      </w:r>
                    </w:p>
                  </w:txbxContent>
                </v:textbox>
                <w10:wrap type="square"/>
              </v:shape>
            </w:pict>
          </mc:Fallback>
        </mc:AlternateContent>
      </w:r>
      <w:r>
        <w:rPr>
          <w:b/>
          <w:color w:val="000000" w:themeColor="text1"/>
          <w:sz w:val="32"/>
        </w:rPr>
        <w:t>2024</w:t>
      </w:r>
      <w:r>
        <w:rPr>
          <w:b/>
          <w:color w:val="000000" w:themeColor="text1"/>
          <w:sz w:val="32"/>
        </w:rPr>
        <w:t>年度以简易程序向特定对象发行股票摊薄即期回报的风险提示及填补回报措施和相关主体承诺的公告</w:t>
      </w:r>
    </w:p>
    <w:p w:rsidR="00A610B2" w:rsidRDefault="00A610B2">
      <w:pPr>
        <w:spacing w:beforeLines="50" w:before="156" w:line="560" w:lineRule="atLeast"/>
        <w:ind w:firstLineChars="200" w:firstLine="482"/>
        <w:rPr>
          <w:rFonts w:ascii="宋体" w:hAnsi="宋体" w:cs="宋体"/>
          <w:b/>
          <w:bCs/>
          <w:sz w:val="24"/>
        </w:rPr>
      </w:pPr>
    </w:p>
    <w:p w:rsidR="00A610B2" w:rsidRDefault="00A95B27">
      <w:pPr>
        <w:autoSpaceDE w:val="0"/>
        <w:autoSpaceDN w:val="0"/>
        <w:spacing w:line="360" w:lineRule="auto"/>
        <w:ind w:firstLineChars="200" w:firstLine="482"/>
        <w:jc w:val="left"/>
        <w:rPr>
          <w:b/>
          <w:bCs/>
          <w:color w:val="000000"/>
          <w:kern w:val="0"/>
          <w:sz w:val="24"/>
        </w:rPr>
      </w:pPr>
      <w:r>
        <w:rPr>
          <w:b/>
          <w:bCs/>
          <w:color w:val="000000"/>
          <w:kern w:val="0"/>
          <w:sz w:val="24"/>
        </w:rPr>
        <w:t>重要内容提示：</w:t>
      </w:r>
    </w:p>
    <w:p w:rsidR="00A610B2" w:rsidRDefault="00A95B27">
      <w:pPr>
        <w:spacing w:beforeLines="50" w:before="156" w:afterLines="50" w:after="156" w:line="360" w:lineRule="auto"/>
        <w:ind w:firstLineChars="200" w:firstLine="480"/>
        <w:rPr>
          <w:sz w:val="24"/>
          <w:szCs w:val="22"/>
        </w:rPr>
      </w:pPr>
      <w:r>
        <w:rPr>
          <w:sz w:val="24"/>
          <w:szCs w:val="22"/>
        </w:rPr>
        <w:t>以下关于渤海水业股份有限公司（以下简称</w:t>
      </w:r>
      <w:r w:rsidRPr="00C9299C">
        <w:rPr>
          <w:rFonts w:ascii="宋体" w:hAnsi="宋体" w:cs="宋体" w:hint="eastAsia"/>
          <w:sz w:val="24"/>
          <w:szCs w:val="22"/>
        </w:rPr>
        <w:t>“公司”</w:t>
      </w:r>
      <w:r>
        <w:rPr>
          <w:sz w:val="24"/>
          <w:szCs w:val="22"/>
        </w:rPr>
        <w:t>）</w:t>
      </w:r>
      <w:r>
        <w:rPr>
          <w:sz w:val="24"/>
          <w:szCs w:val="22"/>
        </w:rPr>
        <w:t>2024</w:t>
      </w:r>
      <w:r>
        <w:rPr>
          <w:sz w:val="24"/>
          <w:szCs w:val="22"/>
        </w:rPr>
        <w:t>年度以简易程序向特定对象发行</w:t>
      </w:r>
      <w:r>
        <w:rPr>
          <w:sz w:val="24"/>
          <w:szCs w:val="22"/>
        </w:rPr>
        <w:t>A</w:t>
      </w:r>
      <w:r>
        <w:rPr>
          <w:sz w:val="24"/>
          <w:szCs w:val="22"/>
        </w:rPr>
        <w:t>股股票后其主要财务指标的假设分析、描述均不构成公司的盈利预测，投资者不应仅依据该等分析、描述进行投资决策，如投资者据此进行投资决策而造成任何损失的，公司不承担任何责任。公司提示投资者，制定填补措施不等于对公司未来利润做出保证。敬请广大投资者注意。</w:t>
      </w:r>
    </w:p>
    <w:p w:rsidR="00A610B2" w:rsidRDefault="00A610B2">
      <w:pPr>
        <w:spacing w:line="360" w:lineRule="auto"/>
        <w:ind w:firstLineChars="200" w:firstLine="480"/>
        <w:rPr>
          <w:rFonts w:ascii="宋体" w:hAnsi="宋体" w:cs="宋体"/>
          <w:sz w:val="24"/>
        </w:rPr>
      </w:pPr>
    </w:p>
    <w:p w:rsidR="00A610B2" w:rsidRDefault="00A95B27">
      <w:pPr>
        <w:spacing w:line="520" w:lineRule="atLeast"/>
        <w:ind w:firstLineChars="200" w:firstLine="480"/>
        <w:rPr>
          <w:color w:val="000000"/>
          <w:kern w:val="0"/>
          <w:sz w:val="24"/>
          <w:lang w:bidi="ar"/>
        </w:rPr>
      </w:pPr>
      <w:bookmarkStart w:id="1" w:name="一、本次向特定对象发行摊薄即期回报对公司主要财务指标的影响"/>
      <w:bookmarkEnd w:id="1"/>
      <w:r>
        <w:rPr>
          <w:color w:val="000000"/>
          <w:kern w:val="0"/>
          <w:sz w:val="24"/>
          <w:lang w:bidi="ar"/>
        </w:rPr>
        <w:t>根据国务院《关于进一步促进资本市场健康发展的若干意见》（国发〔</w:t>
      </w:r>
      <w:r>
        <w:rPr>
          <w:color w:val="000000"/>
          <w:kern w:val="0"/>
          <w:sz w:val="24"/>
          <w:lang w:bidi="ar"/>
        </w:rPr>
        <w:t>2014</w:t>
      </w:r>
      <w:r>
        <w:rPr>
          <w:color w:val="000000"/>
          <w:kern w:val="0"/>
          <w:sz w:val="24"/>
          <w:lang w:bidi="ar"/>
        </w:rPr>
        <w:t>〕</w:t>
      </w:r>
      <w:r>
        <w:rPr>
          <w:color w:val="000000"/>
          <w:kern w:val="0"/>
          <w:sz w:val="24"/>
          <w:lang w:bidi="ar"/>
        </w:rPr>
        <w:t>17</w:t>
      </w:r>
      <w:r>
        <w:rPr>
          <w:rFonts w:hint="eastAsia"/>
          <w:color w:val="000000"/>
          <w:kern w:val="0"/>
          <w:sz w:val="24"/>
          <w:lang w:bidi="ar"/>
        </w:rPr>
        <w:t>号）、国务院办公厅《关于进一步加强资本市场中小投资者合法权益保护工作的意见》（国办发〔</w:t>
      </w:r>
      <w:r>
        <w:rPr>
          <w:rFonts w:hint="eastAsia"/>
          <w:color w:val="000000"/>
          <w:kern w:val="0"/>
          <w:sz w:val="24"/>
          <w:lang w:bidi="ar"/>
        </w:rPr>
        <w:t>2013</w:t>
      </w:r>
      <w:r>
        <w:rPr>
          <w:rFonts w:hint="eastAsia"/>
          <w:color w:val="000000"/>
          <w:kern w:val="0"/>
          <w:sz w:val="24"/>
          <w:lang w:bidi="ar"/>
        </w:rPr>
        <w:t>〕</w:t>
      </w:r>
      <w:r>
        <w:rPr>
          <w:rFonts w:hint="eastAsia"/>
          <w:color w:val="000000"/>
          <w:kern w:val="0"/>
          <w:sz w:val="24"/>
          <w:lang w:bidi="ar"/>
        </w:rPr>
        <w:t>110</w:t>
      </w:r>
      <w:r>
        <w:rPr>
          <w:rFonts w:hint="eastAsia"/>
          <w:color w:val="000000"/>
          <w:kern w:val="0"/>
          <w:sz w:val="24"/>
          <w:lang w:bidi="ar"/>
        </w:rPr>
        <w:t>号）及《关于首发及再融资、重大资产重组摊薄即</w:t>
      </w:r>
      <w:r>
        <w:rPr>
          <w:rFonts w:hint="eastAsia"/>
          <w:color w:val="000000"/>
          <w:kern w:val="0"/>
          <w:sz w:val="24"/>
          <w:lang w:bidi="ar"/>
        </w:rPr>
        <w:t>期回报有关事项的指导意见》（证监会公告〔</w:t>
      </w:r>
      <w:r>
        <w:rPr>
          <w:rFonts w:hint="eastAsia"/>
          <w:color w:val="000000"/>
          <w:kern w:val="0"/>
          <w:sz w:val="24"/>
          <w:lang w:bidi="ar"/>
        </w:rPr>
        <w:t>2015</w:t>
      </w:r>
      <w:r>
        <w:rPr>
          <w:rFonts w:hint="eastAsia"/>
          <w:color w:val="000000"/>
          <w:kern w:val="0"/>
          <w:sz w:val="24"/>
          <w:lang w:bidi="ar"/>
        </w:rPr>
        <w:t>〕</w:t>
      </w:r>
      <w:r>
        <w:rPr>
          <w:rFonts w:hint="eastAsia"/>
          <w:color w:val="000000"/>
          <w:kern w:val="0"/>
          <w:sz w:val="24"/>
          <w:lang w:bidi="ar"/>
        </w:rPr>
        <w:t>31</w:t>
      </w:r>
      <w:r>
        <w:rPr>
          <w:rFonts w:hint="eastAsia"/>
          <w:color w:val="000000"/>
          <w:kern w:val="0"/>
          <w:sz w:val="24"/>
          <w:lang w:bidi="ar"/>
        </w:rPr>
        <w:t>号）等文件的有关规定，为保障中小投资者利益，公司就本次发行事项对即期回报摊薄的影响进行了认真、审慎、客观的分析，并制定了具体的填补回报措施，相关主体对公司填补回报措施能够得到切实履行做出了承诺，具体内容如下：</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一、本次发行摊薄即期回报对公司主要财务指标的影响</w:t>
      </w:r>
    </w:p>
    <w:p w:rsidR="00A610B2" w:rsidRDefault="00A95B27">
      <w:pPr>
        <w:spacing w:line="520" w:lineRule="atLeast"/>
        <w:ind w:firstLineChars="200" w:firstLine="482"/>
        <w:rPr>
          <w:b/>
          <w:bCs/>
          <w:color w:val="000000"/>
          <w:kern w:val="0"/>
          <w:sz w:val="24"/>
          <w:lang w:bidi="ar"/>
        </w:rPr>
      </w:pPr>
      <w:r>
        <w:rPr>
          <w:b/>
          <w:bCs/>
          <w:color w:val="000000"/>
          <w:kern w:val="0"/>
          <w:sz w:val="24"/>
          <w:lang w:bidi="ar"/>
        </w:rPr>
        <w:t>（一）主要假设及条件</w:t>
      </w:r>
    </w:p>
    <w:p w:rsidR="00A610B2" w:rsidRDefault="00A95B27">
      <w:pPr>
        <w:spacing w:line="520" w:lineRule="atLeast"/>
        <w:ind w:firstLineChars="200" w:firstLine="480"/>
        <w:rPr>
          <w:color w:val="000000"/>
          <w:kern w:val="0"/>
          <w:sz w:val="24"/>
          <w:lang w:bidi="ar"/>
        </w:rPr>
      </w:pPr>
      <w:r>
        <w:rPr>
          <w:color w:val="000000"/>
          <w:kern w:val="0"/>
          <w:sz w:val="24"/>
          <w:lang w:bidi="ar"/>
        </w:rPr>
        <w:t>1</w:t>
      </w:r>
      <w:r>
        <w:rPr>
          <w:rFonts w:hint="eastAsia"/>
          <w:color w:val="000000"/>
          <w:kern w:val="0"/>
          <w:sz w:val="24"/>
          <w:lang w:bidi="ar"/>
        </w:rPr>
        <w:t>、</w:t>
      </w:r>
      <w:r>
        <w:rPr>
          <w:color w:val="000000"/>
          <w:kern w:val="0"/>
          <w:sz w:val="24"/>
          <w:lang w:bidi="ar"/>
        </w:rPr>
        <w:t>假设宏观经济环境、产业政策、行业发展状况、市场情况及公司经营环</w:t>
      </w:r>
      <w:r>
        <w:rPr>
          <w:color w:val="000000"/>
          <w:kern w:val="0"/>
          <w:sz w:val="24"/>
          <w:lang w:bidi="ar"/>
        </w:rPr>
        <w:lastRenderedPageBreak/>
        <w:t>境等方面没有发生重大不利变化；</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2</w:t>
      </w:r>
      <w:r>
        <w:rPr>
          <w:rFonts w:hint="eastAsia"/>
          <w:color w:val="000000"/>
          <w:kern w:val="0"/>
          <w:sz w:val="24"/>
          <w:lang w:bidi="ar"/>
        </w:rPr>
        <w:t>、假设本次发行股票预计于</w:t>
      </w:r>
      <w:r>
        <w:rPr>
          <w:rFonts w:hint="eastAsia"/>
          <w:color w:val="000000"/>
          <w:kern w:val="0"/>
          <w:sz w:val="24"/>
          <w:lang w:bidi="ar"/>
        </w:rPr>
        <w:t>2024</w:t>
      </w:r>
      <w:r>
        <w:rPr>
          <w:rFonts w:hint="eastAsia"/>
          <w:color w:val="000000"/>
          <w:kern w:val="0"/>
          <w:sz w:val="24"/>
          <w:lang w:bidi="ar"/>
        </w:rPr>
        <w:t>年</w:t>
      </w:r>
      <w:r>
        <w:rPr>
          <w:rFonts w:hint="eastAsia"/>
          <w:color w:val="000000"/>
          <w:kern w:val="0"/>
          <w:sz w:val="24"/>
          <w:lang w:bidi="ar"/>
        </w:rPr>
        <w:t>3</w:t>
      </w:r>
      <w:r>
        <w:rPr>
          <w:rFonts w:hint="eastAsia"/>
          <w:color w:val="000000"/>
          <w:kern w:val="0"/>
          <w:sz w:val="24"/>
          <w:lang w:bidi="ar"/>
        </w:rPr>
        <w:t>月底完成，前述完成时间仅用于计算本次发行对即期回报的影响，不构成公司对本次发行股票实际完成时间的承诺，投资者不应据此进行投资决策，投资者据此进行投资决策造成损失的，公司不承担赔偿责任，本次发行的完成时间最终以实际发行完成时间为准；</w:t>
      </w:r>
    </w:p>
    <w:p w:rsidR="00A610B2" w:rsidRDefault="00A95B27">
      <w:pPr>
        <w:spacing w:line="520" w:lineRule="atLeast"/>
        <w:ind w:firstLineChars="200" w:firstLine="480"/>
        <w:rPr>
          <w:color w:val="000000"/>
          <w:kern w:val="0"/>
          <w:sz w:val="24"/>
          <w:lang w:bidi="ar"/>
        </w:rPr>
      </w:pPr>
      <w:r>
        <w:rPr>
          <w:color w:val="000000"/>
          <w:kern w:val="0"/>
          <w:sz w:val="24"/>
          <w:lang w:bidi="ar"/>
        </w:rPr>
        <w:t>3</w:t>
      </w:r>
      <w:r>
        <w:rPr>
          <w:rFonts w:hint="eastAsia"/>
          <w:color w:val="000000"/>
          <w:kern w:val="0"/>
          <w:sz w:val="24"/>
          <w:lang w:bidi="ar"/>
        </w:rPr>
        <w:t>、</w:t>
      </w:r>
      <w:r>
        <w:rPr>
          <w:color w:val="000000"/>
          <w:kern w:val="0"/>
          <w:sz w:val="24"/>
          <w:lang w:bidi="ar"/>
        </w:rPr>
        <w:t>在预测公司总股本时，仅考虑本次发行股票的影响，不考虑其他因素（如资本公积转增股本、股票回购注销等）所导致的股本变动。本次发行前公司总股本</w:t>
      </w:r>
      <w:r>
        <w:rPr>
          <w:rFonts w:hint="eastAsia"/>
          <w:color w:val="000000"/>
          <w:kern w:val="0"/>
          <w:sz w:val="24"/>
          <w:lang w:bidi="ar"/>
        </w:rPr>
        <w:t>352,658,600</w:t>
      </w:r>
      <w:r>
        <w:rPr>
          <w:color w:val="000000"/>
          <w:kern w:val="0"/>
          <w:sz w:val="24"/>
          <w:lang w:bidi="ar"/>
        </w:rPr>
        <w:t>股，本次发行的股份数量上限为</w:t>
      </w:r>
      <w:r>
        <w:rPr>
          <w:rFonts w:hint="eastAsia"/>
          <w:color w:val="000000"/>
          <w:kern w:val="0"/>
          <w:sz w:val="24"/>
          <w:lang w:bidi="ar"/>
        </w:rPr>
        <w:t>50,505,050</w:t>
      </w:r>
      <w:r>
        <w:rPr>
          <w:color w:val="000000"/>
          <w:kern w:val="0"/>
          <w:sz w:val="24"/>
          <w:lang w:bidi="ar"/>
        </w:rPr>
        <w:t>股，按照本次发行股票的数量上限计</w:t>
      </w:r>
      <w:r>
        <w:rPr>
          <w:color w:val="000000"/>
          <w:kern w:val="0"/>
          <w:sz w:val="24"/>
          <w:lang w:bidi="ar"/>
        </w:rPr>
        <w:t>算，本次发行完成后，公司总股本将达到</w:t>
      </w:r>
      <w:r>
        <w:rPr>
          <w:rFonts w:hint="eastAsia"/>
          <w:color w:val="000000"/>
          <w:kern w:val="0"/>
          <w:sz w:val="24"/>
          <w:lang w:bidi="ar"/>
        </w:rPr>
        <w:t>403,163,650</w:t>
      </w:r>
      <w:r>
        <w:rPr>
          <w:color w:val="000000"/>
          <w:kern w:val="0"/>
          <w:sz w:val="24"/>
          <w:lang w:bidi="ar"/>
        </w:rPr>
        <w:t>股。该发行股票数量仅为估计，</w:t>
      </w:r>
      <w:r>
        <w:rPr>
          <w:rFonts w:hint="eastAsia"/>
          <w:color w:val="000000"/>
          <w:kern w:val="0"/>
          <w:sz w:val="24"/>
          <w:lang w:bidi="ar"/>
        </w:rPr>
        <w:t>最终发行股票数量以中国证监会同意注册的数量为准</w:t>
      </w:r>
      <w:r>
        <w:rPr>
          <w:color w:val="000000"/>
          <w:kern w:val="0"/>
          <w:sz w:val="24"/>
          <w:lang w:bidi="ar"/>
        </w:rPr>
        <w:t>；</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4</w:t>
      </w:r>
      <w:r>
        <w:rPr>
          <w:rFonts w:hint="eastAsia"/>
          <w:color w:val="000000"/>
          <w:kern w:val="0"/>
          <w:sz w:val="24"/>
          <w:lang w:bidi="ar"/>
        </w:rPr>
        <w:t>、在预测公司净利润时，未考虑</w:t>
      </w:r>
      <w:r>
        <w:rPr>
          <w:rFonts w:hint="eastAsia"/>
          <w:color w:val="000000"/>
          <w:kern w:val="0"/>
          <w:sz w:val="24"/>
          <w:lang w:bidi="ar"/>
        </w:rPr>
        <w:t>在</w:t>
      </w:r>
      <w:r>
        <w:rPr>
          <w:rFonts w:hint="eastAsia"/>
          <w:color w:val="000000"/>
          <w:kern w:val="0"/>
          <w:sz w:val="24"/>
          <w:lang w:bidi="ar"/>
        </w:rPr>
        <w:t>2024</w:t>
      </w:r>
      <w:r>
        <w:rPr>
          <w:rFonts w:hint="eastAsia"/>
          <w:color w:val="000000"/>
          <w:kern w:val="0"/>
          <w:sz w:val="24"/>
          <w:lang w:bidi="ar"/>
        </w:rPr>
        <w:t>年度进行现金分红等因素对公司财务状况的影响；</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5</w:t>
      </w:r>
      <w:r>
        <w:rPr>
          <w:rFonts w:hint="eastAsia"/>
          <w:color w:val="000000"/>
          <w:kern w:val="0"/>
          <w:sz w:val="24"/>
          <w:lang w:bidi="ar"/>
        </w:rPr>
        <w:t>、根据公司披露的</w:t>
      </w:r>
      <w:r>
        <w:rPr>
          <w:rFonts w:hint="eastAsia"/>
          <w:color w:val="000000"/>
          <w:kern w:val="0"/>
          <w:sz w:val="24"/>
          <w:lang w:bidi="ar"/>
        </w:rPr>
        <w:t>2023</w:t>
      </w:r>
      <w:r>
        <w:rPr>
          <w:rFonts w:hint="eastAsia"/>
          <w:color w:val="000000"/>
          <w:kern w:val="0"/>
          <w:sz w:val="24"/>
          <w:lang w:bidi="ar"/>
        </w:rPr>
        <w:t>年三季报报告，公司</w:t>
      </w:r>
      <w:r>
        <w:rPr>
          <w:rFonts w:hint="eastAsia"/>
          <w:color w:val="000000"/>
          <w:kern w:val="0"/>
          <w:sz w:val="24"/>
          <w:lang w:bidi="ar"/>
        </w:rPr>
        <w:t>2023</w:t>
      </w:r>
      <w:r>
        <w:rPr>
          <w:rFonts w:hint="eastAsia"/>
          <w:color w:val="000000"/>
          <w:kern w:val="0"/>
          <w:sz w:val="24"/>
          <w:lang w:bidi="ar"/>
        </w:rPr>
        <w:t>年</w:t>
      </w:r>
      <w:r>
        <w:rPr>
          <w:rFonts w:hint="eastAsia"/>
          <w:color w:val="000000"/>
          <w:kern w:val="0"/>
          <w:sz w:val="24"/>
          <w:lang w:bidi="ar"/>
        </w:rPr>
        <w:t>1-9</w:t>
      </w:r>
      <w:r>
        <w:rPr>
          <w:rFonts w:hint="eastAsia"/>
          <w:color w:val="000000"/>
          <w:kern w:val="0"/>
          <w:sz w:val="24"/>
          <w:lang w:bidi="ar"/>
        </w:rPr>
        <w:t>月归属于母公司所有者的净利润为</w:t>
      </w:r>
      <w:r>
        <w:rPr>
          <w:rFonts w:hint="eastAsia"/>
          <w:color w:val="000000"/>
          <w:kern w:val="0"/>
          <w:sz w:val="24"/>
          <w:lang w:bidi="ar"/>
        </w:rPr>
        <w:t>1,003.37</w:t>
      </w:r>
      <w:r>
        <w:rPr>
          <w:rFonts w:hint="eastAsia"/>
          <w:color w:val="000000"/>
          <w:kern w:val="0"/>
          <w:sz w:val="24"/>
          <w:lang w:bidi="ar"/>
        </w:rPr>
        <w:t>万元，归属于母公司所有者的扣除非经常性损益的净利润为</w:t>
      </w:r>
      <w:r>
        <w:rPr>
          <w:rFonts w:hint="eastAsia"/>
          <w:color w:val="000000"/>
          <w:kern w:val="0"/>
          <w:sz w:val="24"/>
          <w:lang w:bidi="ar"/>
        </w:rPr>
        <w:t>173.11</w:t>
      </w:r>
      <w:r>
        <w:rPr>
          <w:rFonts w:hint="eastAsia"/>
          <w:color w:val="000000"/>
          <w:kern w:val="0"/>
          <w:sz w:val="24"/>
          <w:lang w:bidi="ar"/>
        </w:rPr>
        <w:t>万元。假设公司</w:t>
      </w:r>
      <w:r>
        <w:rPr>
          <w:rFonts w:hint="eastAsia"/>
          <w:color w:val="000000"/>
          <w:kern w:val="0"/>
          <w:sz w:val="24"/>
          <w:lang w:bidi="ar"/>
        </w:rPr>
        <w:t>2023</w:t>
      </w:r>
      <w:r>
        <w:rPr>
          <w:rFonts w:hint="eastAsia"/>
          <w:color w:val="000000"/>
          <w:kern w:val="0"/>
          <w:sz w:val="24"/>
          <w:lang w:bidi="ar"/>
        </w:rPr>
        <w:t>年</w:t>
      </w:r>
      <w:r>
        <w:rPr>
          <w:rFonts w:hint="eastAsia"/>
          <w:color w:val="000000"/>
          <w:kern w:val="0"/>
          <w:sz w:val="24"/>
          <w:lang w:bidi="ar"/>
        </w:rPr>
        <w:t>1-9</w:t>
      </w:r>
      <w:r>
        <w:rPr>
          <w:rFonts w:hint="eastAsia"/>
          <w:color w:val="000000"/>
          <w:kern w:val="0"/>
          <w:sz w:val="24"/>
          <w:lang w:bidi="ar"/>
        </w:rPr>
        <w:t>月净利润占全年净利润的</w:t>
      </w:r>
      <w:r>
        <w:rPr>
          <w:rFonts w:hint="eastAsia"/>
          <w:color w:val="000000"/>
          <w:kern w:val="0"/>
          <w:sz w:val="24"/>
          <w:lang w:bidi="ar"/>
        </w:rPr>
        <w:t>75%</w:t>
      </w:r>
      <w:r>
        <w:rPr>
          <w:rFonts w:hint="eastAsia"/>
          <w:color w:val="000000"/>
          <w:kern w:val="0"/>
          <w:sz w:val="24"/>
          <w:lang w:bidi="ar"/>
        </w:rPr>
        <w:t>（公司各季度盈利波动较为显著，上述假设与实际净利润实现情况或将存在差异），即假设</w:t>
      </w:r>
      <w:r>
        <w:rPr>
          <w:rFonts w:hint="eastAsia"/>
          <w:color w:val="000000"/>
          <w:kern w:val="0"/>
          <w:sz w:val="24"/>
          <w:lang w:bidi="ar"/>
        </w:rPr>
        <w:t>2023</w:t>
      </w:r>
      <w:r>
        <w:rPr>
          <w:rFonts w:hint="eastAsia"/>
          <w:color w:val="000000"/>
          <w:kern w:val="0"/>
          <w:sz w:val="24"/>
          <w:lang w:bidi="ar"/>
        </w:rPr>
        <w:t>年全年扣除非经常性损益前后归属于母公司股东的净利润分别为</w:t>
      </w:r>
      <w:r>
        <w:rPr>
          <w:rFonts w:hint="eastAsia"/>
          <w:color w:val="000000"/>
          <w:kern w:val="0"/>
          <w:sz w:val="24"/>
          <w:lang w:bidi="ar"/>
        </w:rPr>
        <w:t>1,337.82</w:t>
      </w:r>
      <w:r>
        <w:rPr>
          <w:rFonts w:hint="eastAsia"/>
          <w:color w:val="000000"/>
          <w:kern w:val="0"/>
          <w:sz w:val="24"/>
          <w:lang w:bidi="ar"/>
        </w:rPr>
        <w:t>万元和</w:t>
      </w:r>
      <w:r>
        <w:rPr>
          <w:rFonts w:hint="eastAsia"/>
          <w:color w:val="000000"/>
          <w:kern w:val="0"/>
          <w:sz w:val="24"/>
          <w:lang w:bidi="ar"/>
        </w:rPr>
        <w:t>230.81</w:t>
      </w:r>
      <w:r>
        <w:rPr>
          <w:rFonts w:hint="eastAsia"/>
          <w:color w:val="000000"/>
          <w:kern w:val="0"/>
          <w:sz w:val="24"/>
          <w:lang w:bidi="ar"/>
        </w:rPr>
        <w:t>万元。假设公司</w:t>
      </w:r>
      <w:r>
        <w:rPr>
          <w:rFonts w:hint="eastAsia"/>
          <w:color w:val="000000"/>
          <w:kern w:val="0"/>
          <w:sz w:val="24"/>
          <w:lang w:bidi="ar"/>
        </w:rPr>
        <w:t>2024</w:t>
      </w:r>
      <w:r>
        <w:rPr>
          <w:rFonts w:hint="eastAsia"/>
          <w:color w:val="000000"/>
          <w:kern w:val="0"/>
          <w:sz w:val="24"/>
          <w:lang w:bidi="ar"/>
        </w:rPr>
        <w:t>年度归属于母公司股东的净利润和扣除非经常性损益后归属于母公司股东的净利润较</w:t>
      </w:r>
      <w:r>
        <w:rPr>
          <w:rFonts w:hint="eastAsia"/>
          <w:color w:val="000000"/>
          <w:kern w:val="0"/>
          <w:sz w:val="24"/>
          <w:lang w:bidi="ar"/>
        </w:rPr>
        <w:t>2023</w:t>
      </w:r>
      <w:r>
        <w:rPr>
          <w:rFonts w:hint="eastAsia"/>
          <w:color w:val="000000"/>
          <w:kern w:val="0"/>
          <w:sz w:val="24"/>
          <w:lang w:bidi="ar"/>
        </w:rPr>
        <w:t>年</w:t>
      </w:r>
      <w:r>
        <w:rPr>
          <w:rFonts w:hint="eastAsia"/>
          <w:color w:val="000000"/>
          <w:kern w:val="0"/>
          <w:sz w:val="24"/>
          <w:lang w:bidi="ar"/>
        </w:rPr>
        <w:t>分别减少</w:t>
      </w:r>
      <w:r>
        <w:rPr>
          <w:rFonts w:hint="eastAsia"/>
          <w:color w:val="000000"/>
          <w:kern w:val="0"/>
          <w:sz w:val="24"/>
          <w:lang w:bidi="ar"/>
        </w:rPr>
        <w:t>20%</w:t>
      </w:r>
      <w:r>
        <w:rPr>
          <w:rFonts w:hint="eastAsia"/>
          <w:color w:val="000000"/>
          <w:kern w:val="0"/>
          <w:sz w:val="24"/>
          <w:lang w:bidi="ar"/>
        </w:rPr>
        <w:t>、持平、增长</w:t>
      </w:r>
      <w:r>
        <w:rPr>
          <w:rFonts w:hint="eastAsia"/>
          <w:color w:val="000000"/>
          <w:kern w:val="0"/>
          <w:sz w:val="24"/>
          <w:lang w:bidi="ar"/>
        </w:rPr>
        <w:t>20%</w:t>
      </w:r>
      <w:r>
        <w:rPr>
          <w:rFonts w:hint="eastAsia"/>
          <w:color w:val="000000"/>
          <w:kern w:val="0"/>
          <w:sz w:val="24"/>
          <w:lang w:bidi="ar"/>
        </w:rPr>
        <w:t>计算；</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6</w:t>
      </w:r>
      <w:r>
        <w:rPr>
          <w:rFonts w:hint="eastAsia"/>
          <w:color w:val="000000"/>
          <w:kern w:val="0"/>
          <w:sz w:val="24"/>
          <w:lang w:bidi="ar"/>
        </w:rPr>
        <w:t>、</w:t>
      </w:r>
      <w:r>
        <w:rPr>
          <w:color w:val="000000"/>
          <w:kern w:val="0"/>
          <w:sz w:val="24"/>
          <w:lang w:bidi="ar"/>
        </w:rPr>
        <w:t>上述测算未考虑本次发行募集资金到账后，</w:t>
      </w:r>
      <w:r>
        <w:rPr>
          <w:rFonts w:hint="eastAsia"/>
          <w:color w:val="000000"/>
          <w:kern w:val="0"/>
          <w:sz w:val="24"/>
          <w:lang w:bidi="ar"/>
        </w:rPr>
        <w:t>对公司生产经营、财务状况（如财务费用、投资收益）等影响，未考虑</w:t>
      </w:r>
      <w:r>
        <w:rPr>
          <w:rFonts w:hint="eastAsia"/>
          <w:color w:val="000000"/>
          <w:kern w:val="0"/>
          <w:sz w:val="24"/>
          <w:lang w:bidi="ar"/>
        </w:rPr>
        <w:t>非经常性损益重大变化及</w:t>
      </w:r>
      <w:r>
        <w:rPr>
          <w:rFonts w:hint="eastAsia"/>
          <w:color w:val="000000"/>
          <w:kern w:val="0"/>
          <w:sz w:val="24"/>
          <w:lang w:bidi="ar"/>
        </w:rPr>
        <w:t>其他不可抗力因素对公司财务状况的影响。</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以上假设仅用于测算本次发行摊薄即期回报对公司主要财务指标的影响，不代表公司对未来经营情况的判断，亦不构成盈利预测，投资者不应据此进行投资决策，投资者据此进行投资决策造成损失的，公司不承担任何赔偿责任。</w:t>
      </w:r>
    </w:p>
    <w:p w:rsidR="00A610B2" w:rsidRDefault="00A95B27">
      <w:pPr>
        <w:spacing w:line="520" w:lineRule="atLeast"/>
        <w:ind w:firstLineChars="200" w:firstLine="482"/>
        <w:rPr>
          <w:b/>
          <w:bCs/>
          <w:color w:val="000000"/>
          <w:kern w:val="0"/>
          <w:sz w:val="24"/>
          <w:lang w:bidi="ar"/>
        </w:rPr>
      </w:pPr>
      <w:r>
        <w:rPr>
          <w:b/>
          <w:bCs/>
          <w:color w:val="000000"/>
          <w:kern w:val="0"/>
          <w:sz w:val="24"/>
          <w:lang w:bidi="ar"/>
        </w:rPr>
        <w:lastRenderedPageBreak/>
        <w:t>（二）对公司主要指标的影响</w:t>
      </w:r>
    </w:p>
    <w:p w:rsidR="00A610B2" w:rsidRDefault="00A95B27">
      <w:pPr>
        <w:spacing w:line="520" w:lineRule="atLeast"/>
        <w:ind w:firstLineChars="200" w:firstLine="480"/>
        <w:rPr>
          <w:color w:val="000000"/>
          <w:kern w:val="0"/>
          <w:sz w:val="24"/>
          <w:lang w:bidi="ar"/>
        </w:rPr>
      </w:pPr>
      <w:r>
        <w:rPr>
          <w:color w:val="000000"/>
          <w:kern w:val="0"/>
          <w:sz w:val="24"/>
          <w:lang w:bidi="ar"/>
        </w:rPr>
        <w:t>基于上述假设的前提下，本次发行摊薄即期回报对公司主要财务指标的影响对比如下：</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4243"/>
        <w:gridCol w:w="1363"/>
        <w:gridCol w:w="1341"/>
        <w:gridCol w:w="1335"/>
      </w:tblGrid>
      <w:tr w:rsidR="00A610B2">
        <w:trPr>
          <w:trHeight w:val="290"/>
        </w:trPr>
        <w:tc>
          <w:tcPr>
            <w:tcW w:w="4510" w:type="dxa"/>
            <w:vMerge w:val="restart"/>
            <w:shd w:val="clear" w:color="auto" w:fill="auto"/>
            <w:vAlign w:val="center"/>
          </w:tcPr>
          <w:p w:rsidR="00A610B2" w:rsidRDefault="00A95B27">
            <w:pPr>
              <w:widowControl/>
              <w:jc w:val="center"/>
              <w:textAlignment w:val="center"/>
              <w:rPr>
                <w:b/>
                <w:bCs/>
                <w:color w:val="000000"/>
                <w:kern w:val="0"/>
                <w:sz w:val="24"/>
              </w:rPr>
            </w:pPr>
            <w:r>
              <w:rPr>
                <w:b/>
                <w:bCs/>
                <w:color w:val="000000"/>
                <w:kern w:val="0"/>
                <w:sz w:val="24"/>
                <w:lang w:bidi="ar"/>
              </w:rPr>
              <w:t>项目</w:t>
            </w:r>
          </w:p>
        </w:tc>
        <w:tc>
          <w:tcPr>
            <w:tcW w:w="1312" w:type="dxa"/>
            <w:vMerge w:val="restart"/>
            <w:shd w:val="clear" w:color="auto" w:fill="auto"/>
            <w:vAlign w:val="center"/>
          </w:tcPr>
          <w:p w:rsidR="00A610B2" w:rsidRDefault="00A95B27">
            <w:pPr>
              <w:widowControl/>
              <w:jc w:val="center"/>
              <w:textAlignment w:val="center"/>
              <w:rPr>
                <w:b/>
                <w:bCs/>
                <w:color w:val="000000"/>
                <w:kern w:val="0"/>
                <w:sz w:val="24"/>
              </w:rPr>
            </w:pPr>
            <w:r>
              <w:rPr>
                <w:b/>
                <w:bCs/>
                <w:color w:val="000000"/>
                <w:kern w:val="0"/>
                <w:sz w:val="24"/>
                <w:lang w:bidi="ar"/>
              </w:rPr>
              <w:t>2023</w:t>
            </w:r>
            <w:r>
              <w:rPr>
                <w:b/>
                <w:bCs/>
                <w:color w:val="000000"/>
                <w:sz w:val="24"/>
                <w:lang w:bidi="ar"/>
              </w:rPr>
              <w:t>年度</w:t>
            </w:r>
            <w:r>
              <w:rPr>
                <w:b/>
                <w:bCs/>
                <w:color w:val="000000"/>
                <w:sz w:val="24"/>
                <w:lang w:bidi="ar"/>
              </w:rPr>
              <w:t>/2023.12.31</w:t>
            </w:r>
          </w:p>
        </w:tc>
        <w:tc>
          <w:tcPr>
            <w:tcW w:w="2700" w:type="dxa"/>
            <w:gridSpan w:val="2"/>
            <w:shd w:val="clear" w:color="auto" w:fill="auto"/>
            <w:vAlign w:val="center"/>
          </w:tcPr>
          <w:p w:rsidR="00A610B2" w:rsidRDefault="00A95B27">
            <w:pPr>
              <w:widowControl/>
              <w:jc w:val="center"/>
              <w:textAlignment w:val="center"/>
              <w:rPr>
                <w:b/>
                <w:bCs/>
                <w:color w:val="000000"/>
                <w:sz w:val="24"/>
                <w:lang w:bidi="ar"/>
              </w:rPr>
            </w:pPr>
            <w:r>
              <w:rPr>
                <w:b/>
                <w:bCs/>
                <w:color w:val="000000"/>
                <w:kern w:val="0"/>
                <w:sz w:val="24"/>
                <w:lang w:bidi="ar"/>
              </w:rPr>
              <w:t>2024</w:t>
            </w:r>
            <w:r>
              <w:rPr>
                <w:b/>
                <w:bCs/>
                <w:color w:val="000000"/>
                <w:sz w:val="24"/>
                <w:lang w:bidi="ar"/>
              </w:rPr>
              <w:t>年度</w:t>
            </w:r>
          </w:p>
          <w:p w:rsidR="00A610B2" w:rsidRDefault="00A95B27">
            <w:pPr>
              <w:widowControl/>
              <w:jc w:val="center"/>
              <w:textAlignment w:val="center"/>
              <w:rPr>
                <w:b/>
                <w:bCs/>
                <w:color w:val="000000"/>
                <w:kern w:val="0"/>
                <w:sz w:val="24"/>
              </w:rPr>
            </w:pPr>
            <w:r>
              <w:rPr>
                <w:b/>
                <w:bCs/>
                <w:color w:val="000000"/>
                <w:sz w:val="24"/>
                <w:lang w:bidi="ar"/>
              </w:rPr>
              <w:t>/2024</w:t>
            </w:r>
            <w:r>
              <w:rPr>
                <w:rFonts w:hint="eastAsia"/>
                <w:b/>
                <w:bCs/>
                <w:color w:val="000000"/>
                <w:sz w:val="24"/>
                <w:lang w:bidi="ar"/>
              </w:rPr>
              <w:t>.</w:t>
            </w:r>
            <w:r>
              <w:rPr>
                <w:b/>
                <w:bCs/>
                <w:color w:val="000000"/>
                <w:sz w:val="24"/>
                <w:lang w:bidi="ar"/>
              </w:rPr>
              <w:t>12</w:t>
            </w:r>
            <w:r>
              <w:rPr>
                <w:rFonts w:hint="eastAsia"/>
                <w:b/>
                <w:bCs/>
                <w:color w:val="000000"/>
                <w:sz w:val="24"/>
                <w:lang w:bidi="ar"/>
              </w:rPr>
              <w:t>.</w:t>
            </w:r>
            <w:r>
              <w:rPr>
                <w:b/>
                <w:bCs/>
                <w:color w:val="000000"/>
                <w:sz w:val="24"/>
                <w:lang w:bidi="ar"/>
              </w:rPr>
              <w:t>31</w:t>
            </w:r>
          </w:p>
        </w:tc>
      </w:tr>
      <w:tr w:rsidR="00A610B2">
        <w:trPr>
          <w:trHeight w:val="290"/>
        </w:trPr>
        <w:tc>
          <w:tcPr>
            <w:tcW w:w="4510" w:type="dxa"/>
            <w:vMerge/>
            <w:shd w:val="clear" w:color="auto" w:fill="auto"/>
            <w:vAlign w:val="center"/>
          </w:tcPr>
          <w:p w:rsidR="00A610B2" w:rsidRDefault="00A610B2">
            <w:pPr>
              <w:jc w:val="center"/>
              <w:rPr>
                <w:b/>
                <w:bCs/>
                <w:color w:val="000000"/>
                <w:kern w:val="0"/>
                <w:sz w:val="24"/>
              </w:rPr>
            </w:pPr>
          </w:p>
        </w:tc>
        <w:tc>
          <w:tcPr>
            <w:tcW w:w="1312" w:type="dxa"/>
            <w:vMerge/>
            <w:shd w:val="clear" w:color="auto" w:fill="auto"/>
            <w:vAlign w:val="center"/>
          </w:tcPr>
          <w:p w:rsidR="00A610B2" w:rsidRDefault="00A610B2">
            <w:pPr>
              <w:jc w:val="center"/>
              <w:rPr>
                <w:b/>
                <w:bCs/>
                <w:color w:val="000000"/>
                <w:kern w:val="0"/>
                <w:sz w:val="24"/>
              </w:rPr>
            </w:pPr>
          </w:p>
        </w:tc>
        <w:tc>
          <w:tcPr>
            <w:tcW w:w="1353" w:type="dxa"/>
            <w:shd w:val="clear" w:color="auto" w:fill="auto"/>
            <w:vAlign w:val="center"/>
          </w:tcPr>
          <w:p w:rsidR="00A610B2" w:rsidRDefault="00A95B27">
            <w:pPr>
              <w:widowControl/>
              <w:jc w:val="center"/>
              <w:textAlignment w:val="center"/>
              <w:rPr>
                <w:b/>
                <w:bCs/>
                <w:color w:val="000000"/>
                <w:kern w:val="0"/>
                <w:sz w:val="24"/>
              </w:rPr>
            </w:pPr>
            <w:r>
              <w:rPr>
                <w:b/>
                <w:bCs/>
                <w:color w:val="000000"/>
                <w:kern w:val="0"/>
                <w:sz w:val="24"/>
                <w:lang w:bidi="ar"/>
              </w:rPr>
              <w:t>发行前</w:t>
            </w:r>
          </w:p>
        </w:tc>
        <w:tc>
          <w:tcPr>
            <w:tcW w:w="1347" w:type="dxa"/>
            <w:shd w:val="clear" w:color="auto" w:fill="auto"/>
            <w:vAlign w:val="center"/>
          </w:tcPr>
          <w:p w:rsidR="00A610B2" w:rsidRDefault="00A95B27">
            <w:pPr>
              <w:widowControl/>
              <w:jc w:val="center"/>
              <w:textAlignment w:val="center"/>
              <w:rPr>
                <w:b/>
                <w:bCs/>
                <w:color w:val="000000"/>
                <w:kern w:val="0"/>
                <w:sz w:val="24"/>
              </w:rPr>
            </w:pPr>
            <w:r>
              <w:rPr>
                <w:b/>
                <w:bCs/>
                <w:color w:val="000000"/>
                <w:kern w:val="0"/>
                <w:sz w:val="24"/>
                <w:lang w:bidi="ar"/>
              </w:rPr>
              <w:t>发行后</w:t>
            </w:r>
          </w:p>
        </w:tc>
      </w:tr>
      <w:tr w:rsidR="00A610B2">
        <w:trPr>
          <w:trHeight w:val="102"/>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kern w:val="0"/>
                <w:sz w:val="24"/>
                <w:lang w:bidi="ar"/>
              </w:rPr>
              <w:t>期末发行在外的普通股股数</w:t>
            </w:r>
            <w:r>
              <w:rPr>
                <w:color w:val="000000"/>
                <w:kern w:val="0"/>
                <w:sz w:val="24"/>
                <w:lang w:bidi="ar"/>
              </w:rPr>
              <w:t>(</w:t>
            </w:r>
            <w:r>
              <w:rPr>
                <w:color w:val="000000"/>
                <w:kern w:val="0"/>
                <w:sz w:val="24"/>
                <w:lang w:bidi="ar"/>
              </w:rPr>
              <w:t>万股</w:t>
            </w:r>
            <w:r>
              <w:rPr>
                <w:color w:val="000000"/>
                <w:kern w:val="0"/>
                <w:sz w:val="24"/>
                <w:lang w:bidi="ar"/>
              </w:rPr>
              <w:t>)</w:t>
            </w:r>
          </w:p>
        </w:tc>
        <w:tc>
          <w:tcPr>
            <w:tcW w:w="1312"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35,265.86</w:t>
            </w:r>
          </w:p>
        </w:tc>
        <w:tc>
          <w:tcPr>
            <w:tcW w:w="1353"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35,265.86</w:t>
            </w:r>
          </w:p>
        </w:tc>
        <w:tc>
          <w:tcPr>
            <w:tcW w:w="1347"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40,316.37</w:t>
            </w:r>
          </w:p>
        </w:tc>
      </w:tr>
      <w:tr w:rsidR="00A610B2">
        <w:trPr>
          <w:trHeight w:val="620"/>
        </w:trPr>
        <w:tc>
          <w:tcPr>
            <w:tcW w:w="8522" w:type="dxa"/>
            <w:gridSpan w:val="4"/>
            <w:shd w:val="clear" w:color="auto" w:fill="auto"/>
            <w:vAlign w:val="center"/>
          </w:tcPr>
          <w:p w:rsidR="00A610B2" w:rsidRDefault="00A95B27">
            <w:pPr>
              <w:widowControl/>
              <w:jc w:val="left"/>
              <w:textAlignment w:val="center"/>
              <w:rPr>
                <w:b/>
                <w:bCs/>
                <w:color w:val="000000"/>
                <w:kern w:val="0"/>
                <w:sz w:val="24"/>
              </w:rPr>
            </w:pPr>
            <w:r>
              <w:rPr>
                <w:b/>
                <w:bCs/>
                <w:color w:val="000000"/>
                <w:kern w:val="0"/>
                <w:sz w:val="24"/>
                <w:lang w:bidi="ar"/>
              </w:rPr>
              <w:t>情形</w:t>
            </w:r>
            <w:r>
              <w:rPr>
                <w:b/>
                <w:bCs/>
                <w:color w:val="000000"/>
                <w:sz w:val="24"/>
                <w:lang w:bidi="ar"/>
              </w:rPr>
              <w:t>1</w:t>
            </w:r>
            <w:r>
              <w:rPr>
                <w:b/>
                <w:bCs/>
                <w:color w:val="000000"/>
                <w:sz w:val="24"/>
                <w:lang w:bidi="ar"/>
              </w:rPr>
              <w:t>：</w:t>
            </w:r>
            <w:r>
              <w:rPr>
                <w:b/>
                <w:bCs/>
                <w:color w:val="000000"/>
                <w:sz w:val="24"/>
                <w:lang w:bidi="ar"/>
              </w:rPr>
              <w:t>2024</w:t>
            </w:r>
            <w:r>
              <w:rPr>
                <w:b/>
                <w:bCs/>
                <w:color w:val="000000"/>
                <w:sz w:val="24"/>
                <w:lang w:bidi="ar"/>
              </w:rPr>
              <w:t>年度归属于母公司股东的净利润及扣除非经常性损益后归属于母公司股东的净利润较</w:t>
            </w:r>
            <w:r>
              <w:rPr>
                <w:b/>
                <w:bCs/>
                <w:color w:val="000000"/>
                <w:sz w:val="24"/>
                <w:lang w:bidi="ar"/>
              </w:rPr>
              <w:t>2023</w:t>
            </w:r>
            <w:r>
              <w:rPr>
                <w:b/>
                <w:bCs/>
                <w:color w:val="000000"/>
                <w:sz w:val="24"/>
                <w:lang w:bidi="ar"/>
              </w:rPr>
              <w:t>年度数据下降</w:t>
            </w:r>
            <w:r>
              <w:rPr>
                <w:b/>
                <w:bCs/>
                <w:color w:val="000000"/>
                <w:sz w:val="24"/>
                <w:lang w:bidi="ar"/>
              </w:rPr>
              <w:t>20%</w:t>
            </w:r>
          </w:p>
        </w:tc>
      </w:tr>
      <w:tr w:rsidR="00A610B2">
        <w:trPr>
          <w:trHeight w:val="32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kern w:val="0"/>
                <w:sz w:val="24"/>
                <w:lang w:bidi="ar"/>
              </w:rPr>
              <w:t>归属于公司普通股股东的净利润</w:t>
            </w:r>
            <w:r>
              <w:rPr>
                <w:color w:val="000000"/>
                <w:kern w:val="0"/>
                <w:sz w:val="24"/>
                <w:lang w:bidi="ar"/>
              </w:rPr>
              <w:t>(</w:t>
            </w:r>
            <w:r>
              <w:rPr>
                <w:color w:val="000000"/>
                <w:kern w:val="0"/>
                <w:sz w:val="24"/>
                <w:lang w:bidi="ar"/>
              </w:rPr>
              <w:t>万元</w:t>
            </w:r>
            <w:r>
              <w:rPr>
                <w:color w:val="000000"/>
                <w:kern w:val="0"/>
                <w:sz w:val="24"/>
                <w:lang w:bidi="ar"/>
              </w:rPr>
              <w:t>)</w:t>
            </w:r>
          </w:p>
        </w:tc>
        <w:tc>
          <w:tcPr>
            <w:tcW w:w="1312"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1,337.82</w:t>
            </w:r>
          </w:p>
        </w:tc>
        <w:tc>
          <w:tcPr>
            <w:tcW w:w="1353"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1,070.26</w:t>
            </w:r>
          </w:p>
        </w:tc>
        <w:tc>
          <w:tcPr>
            <w:tcW w:w="1347"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1,070.26</w:t>
            </w:r>
          </w:p>
        </w:tc>
      </w:tr>
      <w:tr w:rsidR="00A610B2">
        <w:trPr>
          <w:trHeight w:val="55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kern w:val="0"/>
                <w:sz w:val="24"/>
                <w:lang w:bidi="ar"/>
              </w:rPr>
              <w:t>扣除非经常性损益后归属于公司普通股股东的净利润</w:t>
            </w:r>
            <w:r>
              <w:rPr>
                <w:color w:val="000000"/>
                <w:kern w:val="0"/>
                <w:sz w:val="24"/>
                <w:lang w:bidi="ar"/>
              </w:rPr>
              <w:t>(</w:t>
            </w:r>
            <w:r>
              <w:rPr>
                <w:color w:val="000000"/>
                <w:kern w:val="0"/>
                <w:sz w:val="24"/>
                <w:lang w:bidi="ar"/>
              </w:rPr>
              <w:t>万元</w:t>
            </w:r>
            <w:r>
              <w:rPr>
                <w:color w:val="000000"/>
                <w:kern w:val="0"/>
                <w:sz w:val="24"/>
                <w:lang w:bidi="ar"/>
              </w:rPr>
              <w:t>)</w:t>
            </w:r>
          </w:p>
        </w:tc>
        <w:tc>
          <w:tcPr>
            <w:tcW w:w="1312"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230.81</w:t>
            </w:r>
          </w:p>
        </w:tc>
        <w:tc>
          <w:tcPr>
            <w:tcW w:w="1353"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184.65</w:t>
            </w:r>
          </w:p>
        </w:tc>
        <w:tc>
          <w:tcPr>
            <w:tcW w:w="1347"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184.65</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基本每股收益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0.0303</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0.0274</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稀释每股收益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0.0303</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0.0274</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扣除非经常性损益的基本每股收益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0.0052</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0.0047</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扣除非经常性损益的稀释每股收益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0.0052</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0.0047</w:t>
            </w:r>
          </w:p>
        </w:tc>
      </w:tr>
      <w:tr w:rsidR="00A610B2">
        <w:trPr>
          <w:trHeight w:val="560"/>
        </w:trPr>
        <w:tc>
          <w:tcPr>
            <w:tcW w:w="8522" w:type="dxa"/>
            <w:gridSpan w:val="4"/>
            <w:shd w:val="clear" w:color="auto" w:fill="auto"/>
            <w:vAlign w:val="center"/>
          </w:tcPr>
          <w:p w:rsidR="00A610B2" w:rsidRDefault="00A95B27">
            <w:pPr>
              <w:widowControl/>
              <w:jc w:val="left"/>
              <w:textAlignment w:val="center"/>
              <w:rPr>
                <w:b/>
                <w:bCs/>
                <w:color w:val="000000"/>
                <w:kern w:val="0"/>
                <w:sz w:val="24"/>
              </w:rPr>
            </w:pPr>
            <w:r>
              <w:rPr>
                <w:b/>
                <w:bCs/>
                <w:color w:val="000000"/>
                <w:kern w:val="0"/>
                <w:sz w:val="24"/>
                <w:lang w:bidi="ar"/>
              </w:rPr>
              <w:t>情形</w:t>
            </w:r>
            <w:r>
              <w:rPr>
                <w:b/>
                <w:bCs/>
                <w:color w:val="000000"/>
                <w:sz w:val="24"/>
                <w:lang w:bidi="ar"/>
              </w:rPr>
              <w:t>2</w:t>
            </w:r>
            <w:r>
              <w:rPr>
                <w:b/>
                <w:bCs/>
                <w:color w:val="000000"/>
                <w:sz w:val="24"/>
                <w:lang w:bidi="ar"/>
              </w:rPr>
              <w:t>：</w:t>
            </w:r>
            <w:r>
              <w:rPr>
                <w:b/>
                <w:bCs/>
                <w:color w:val="000000"/>
                <w:sz w:val="24"/>
                <w:lang w:bidi="ar"/>
              </w:rPr>
              <w:t>2024</w:t>
            </w:r>
            <w:r>
              <w:rPr>
                <w:b/>
                <w:bCs/>
                <w:color w:val="000000"/>
                <w:sz w:val="24"/>
                <w:lang w:bidi="ar"/>
              </w:rPr>
              <w:t>年度归属于母公司股东的净利润及扣除非经常性损益后归属于母公司股东的净利润与</w:t>
            </w:r>
            <w:r>
              <w:rPr>
                <w:b/>
                <w:bCs/>
                <w:color w:val="000000"/>
                <w:sz w:val="24"/>
                <w:lang w:bidi="ar"/>
              </w:rPr>
              <w:t>2023</w:t>
            </w:r>
            <w:r>
              <w:rPr>
                <w:b/>
                <w:bCs/>
                <w:color w:val="000000"/>
                <w:sz w:val="24"/>
                <w:lang w:bidi="ar"/>
              </w:rPr>
              <w:t>年度数据持平</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kern w:val="0"/>
                <w:sz w:val="24"/>
                <w:lang w:bidi="ar"/>
              </w:rPr>
              <w:t>归属于公司普通股股东的净利润</w:t>
            </w:r>
            <w:r>
              <w:rPr>
                <w:color w:val="000000"/>
                <w:kern w:val="0"/>
                <w:sz w:val="24"/>
                <w:lang w:bidi="ar"/>
              </w:rPr>
              <w:t>(</w:t>
            </w:r>
            <w:r>
              <w:rPr>
                <w:color w:val="000000"/>
                <w:kern w:val="0"/>
                <w:sz w:val="24"/>
                <w:lang w:bidi="ar"/>
              </w:rPr>
              <w:t>万元</w:t>
            </w:r>
            <w:r>
              <w:rPr>
                <w:color w:val="000000"/>
                <w:kern w:val="0"/>
                <w:sz w:val="24"/>
                <w:lang w:bidi="ar"/>
              </w:rPr>
              <w:t>)</w:t>
            </w:r>
          </w:p>
        </w:tc>
        <w:tc>
          <w:tcPr>
            <w:tcW w:w="1312"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1,337.82</w:t>
            </w:r>
          </w:p>
        </w:tc>
        <w:tc>
          <w:tcPr>
            <w:tcW w:w="1353"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1,337.82</w:t>
            </w:r>
          </w:p>
        </w:tc>
        <w:tc>
          <w:tcPr>
            <w:tcW w:w="1347"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1,337.82</w:t>
            </w:r>
          </w:p>
        </w:tc>
      </w:tr>
      <w:tr w:rsidR="00A610B2">
        <w:trPr>
          <w:trHeight w:val="55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kern w:val="0"/>
                <w:sz w:val="24"/>
                <w:lang w:bidi="ar"/>
              </w:rPr>
              <w:t>扣除非经常性损益后归属于公司普通股股东的净利润</w:t>
            </w:r>
            <w:r>
              <w:rPr>
                <w:color w:val="000000"/>
                <w:kern w:val="0"/>
                <w:sz w:val="24"/>
                <w:lang w:bidi="ar"/>
              </w:rPr>
              <w:t>(</w:t>
            </w:r>
            <w:r>
              <w:rPr>
                <w:color w:val="000000"/>
                <w:kern w:val="0"/>
                <w:sz w:val="24"/>
                <w:lang w:bidi="ar"/>
              </w:rPr>
              <w:t>万元</w:t>
            </w:r>
            <w:r>
              <w:rPr>
                <w:color w:val="000000"/>
                <w:kern w:val="0"/>
                <w:sz w:val="24"/>
                <w:lang w:bidi="ar"/>
              </w:rPr>
              <w:t>)</w:t>
            </w:r>
          </w:p>
        </w:tc>
        <w:tc>
          <w:tcPr>
            <w:tcW w:w="1312"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230.81</w:t>
            </w:r>
          </w:p>
        </w:tc>
        <w:tc>
          <w:tcPr>
            <w:tcW w:w="1353"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230.81</w:t>
            </w:r>
          </w:p>
        </w:tc>
        <w:tc>
          <w:tcPr>
            <w:tcW w:w="1347"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230.81</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基本每股收益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0.0343</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稀释每股收益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0.0343</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扣除非经常性损益的基本每股收益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0.0059</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扣除非经常性损益的稀释每股收益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0.0059</w:t>
            </w:r>
          </w:p>
        </w:tc>
      </w:tr>
      <w:tr w:rsidR="00A610B2">
        <w:trPr>
          <w:trHeight w:val="560"/>
        </w:trPr>
        <w:tc>
          <w:tcPr>
            <w:tcW w:w="8522" w:type="dxa"/>
            <w:gridSpan w:val="4"/>
            <w:shd w:val="clear" w:color="auto" w:fill="auto"/>
            <w:vAlign w:val="center"/>
          </w:tcPr>
          <w:p w:rsidR="00A610B2" w:rsidRDefault="00A95B27">
            <w:pPr>
              <w:widowControl/>
              <w:jc w:val="left"/>
              <w:textAlignment w:val="center"/>
              <w:rPr>
                <w:b/>
                <w:bCs/>
                <w:color w:val="000000"/>
                <w:kern w:val="0"/>
                <w:sz w:val="24"/>
              </w:rPr>
            </w:pPr>
            <w:r>
              <w:rPr>
                <w:b/>
                <w:bCs/>
                <w:color w:val="000000"/>
                <w:kern w:val="0"/>
                <w:sz w:val="24"/>
                <w:lang w:bidi="ar"/>
              </w:rPr>
              <w:t>情形</w:t>
            </w:r>
            <w:r>
              <w:rPr>
                <w:b/>
                <w:bCs/>
                <w:color w:val="000000"/>
                <w:sz w:val="24"/>
                <w:lang w:bidi="ar"/>
              </w:rPr>
              <w:t>3</w:t>
            </w:r>
            <w:r>
              <w:rPr>
                <w:b/>
                <w:bCs/>
                <w:color w:val="000000"/>
                <w:sz w:val="24"/>
                <w:lang w:bidi="ar"/>
              </w:rPr>
              <w:t>：</w:t>
            </w:r>
            <w:r>
              <w:rPr>
                <w:b/>
                <w:bCs/>
                <w:color w:val="000000"/>
                <w:sz w:val="24"/>
                <w:lang w:bidi="ar"/>
              </w:rPr>
              <w:t>2024</w:t>
            </w:r>
            <w:r>
              <w:rPr>
                <w:b/>
                <w:bCs/>
                <w:color w:val="000000"/>
                <w:sz w:val="24"/>
                <w:lang w:bidi="ar"/>
              </w:rPr>
              <w:t>年度归属于母公司股东的净利润及扣除非经常性损益后归属于母公司股东的净利润较</w:t>
            </w:r>
            <w:r>
              <w:rPr>
                <w:b/>
                <w:bCs/>
                <w:color w:val="000000"/>
                <w:sz w:val="24"/>
                <w:lang w:bidi="ar"/>
              </w:rPr>
              <w:t>2023</w:t>
            </w:r>
            <w:r>
              <w:rPr>
                <w:b/>
                <w:bCs/>
                <w:color w:val="000000"/>
                <w:sz w:val="24"/>
                <w:lang w:bidi="ar"/>
              </w:rPr>
              <w:t>年度数据增长</w:t>
            </w:r>
            <w:r>
              <w:rPr>
                <w:b/>
                <w:bCs/>
                <w:color w:val="000000"/>
                <w:sz w:val="24"/>
                <w:lang w:bidi="ar"/>
              </w:rPr>
              <w:t>20%</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kern w:val="0"/>
                <w:sz w:val="24"/>
                <w:lang w:bidi="ar"/>
              </w:rPr>
              <w:t>归属于公司普通股股东的净利润</w:t>
            </w:r>
            <w:r>
              <w:rPr>
                <w:color w:val="000000"/>
                <w:kern w:val="0"/>
                <w:sz w:val="24"/>
                <w:lang w:bidi="ar"/>
              </w:rPr>
              <w:t>(</w:t>
            </w:r>
            <w:r>
              <w:rPr>
                <w:color w:val="000000"/>
                <w:kern w:val="0"/>
                <w:sz w:val="24"/>
                <w:lang w:bidi="ar"/>
              </w:rPr>
              <w:t>万元</w:t>
            </w:r>
            <w:r>
              <w:rPr>
                <w:color w:val="000000"/>
                <w:kern w:val="0"/>
                <w:sz w:val="24"/>
                <w:lang w:bidi="ar"/>
              </w:rPr>
              <w:t>)</w:t>
            </w:r>
          </w:p>
        </w:tc>
        <w:tc>
          <w:tcPr>
            <w:tcW w:w="1312"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1,337.82</w:t>
            </w:r>
          </w:p>
        </w:tc>
        <w:tc>
          <w:tcPr>
            <w:tcW w:w="1353"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1,605.38</w:t>
            </w:r>
          </w:p>
        </w:tc>
        <w:tc>
          <w:tcPr>
            <w:tcW w:w="1347"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1,605.38</w:t>
            </w:r>
          </w:p>
        </w:tc>
      </w:tr>
      <w:tr w:rsidR="00A610B2">
        <w:trPr>
          <w:trHeight w:val="55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kern w:val="0"/>
                <w:sz w:val="24"/>
                <w:lang w:bidi="ar"/>
              </w:rPr>
              <w:t>扣除非经常性损益后归属于公司普通股股东的净利润</w:t>
            </w:r>
            <w:r>
              <w:rPr>
                <w:color w:val="000000"/>
                <w:kern w:val="0"/>
                <w:sz w:val="24"/>
                <w:lang w:bidi="ar"/>
              </w:rPr>
              <w:t>(</w:t>
            </w:r>
            <w:r>
              <w:rPr>
                <w:color w:val="000000"/>
                <w:kern w:val="0"/>
                <w:sz w:val="24"/>
                <w:lang w:bidi="ar"/>
              </w:rPr>
              <w:t>万元</w:t>
            </w:r>
            <w:r>
              <w:rPr>
                <w:color w:val="000000"/>
                <w:kern w:val="0"/>
                <w:sz w:val="24"/>
                <w:lang w:bidi="ar"/>
              </w:rPr>
              <w:t>)</w:t>
            </w:r>
          </w:p>
        </w:tc>
        <w:tc>
          <w:tcPr>
            <w:tcW w:w="1312"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230.81</w:t>
            </w:r>
          </w:p>
        </w:tc>
        <w:tc>
          <w:tcPr>
            <w:tcW w:w="1353"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276.97</w:t>
            </w:r>
          </w:p>
        </w:tc>
        <w:tc>
          <w:tcPr>
            <w:tcW w:w="1347" w:type="dxa"/>
            <w:shd w:val="clear" w:color="auto" w:fill="auto"/>
            <w:vAlign w:val="center"/>
          </w:tcPr>
          <w:p w:rsidR="00A610B2" w:rsidRDefault="00A95B27">
            <w:pPr>
              <w:widowControl/>
              <w:jc w:val="right"/>
              <w:textAlignment w:val="center"/>
              <w:rPr>
                <w:color w:val="000000"/>
                <w:kern w:val="0"/>
                <w:sz w:val="24"/>
              </w:rPr>
            </w:pPr>
            <w:r>
              <w:rPr>
                <w:color w:val="000000"/>
                <w:kern w:val="0"/>
                <w:sz w:val="24"/>
                <w:lang w:bidi="ar"/>
              </w:rPr>
              <w:t>276.97</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基本每股收益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0.0455</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0.0411</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稀释每股收益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0.0379</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0.0455</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0.0411</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扣除非经常性损益的基本每股收益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0.0079</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0.0071</w:t>
            </w:r>
          </w:p>
        </w:tc>
      </w:tr>
      <w:tr w:rsidR="00A610B2">
        <w:trPr>
          <w:trHeight w:val="290"/>
        </w:trPr>
        <w:tc>
          <w:tcPr>
            <w:tcW w:w="4510" w:type="dxa"/>
            <w:shd w:val="clear" w:color="auto" w:fill="auto"/>
            <w:vAlign w:val="center"/>
          </w:tcPr>
          <w:p w:rsidR="00A610B2" w:rsidRDefault="00A95B27">
            <w:pPr>
              <w:widowControl/>
              <w:jc w:val="left"/>
              <w:textAlignment w:val="center"/>
              <w:rPr>
                <w:color w:val="000000"/>
                <w:kern w:val="0"/>
                <w:sz w:val="24"/>
              </w:rPr>
            </w:pPr>
            <w:r>
              <w:rPr>
                <w:color w:val="000000"/>
                <w:sz w:val="24"/>
                <w:lang w:bidi="ar"/>
              </w:rPr>
              <w:t>扣除非经常性损益的稀释每股收益</w:t>
            </w:r>
            <w:r>
              <w:rPr>
                <w:color w:val="000000"/>
                <w:sz w:val="24"/>
                <w:lang w:bidi="ar"/>
              </w:rPr>
              <w:t>(</w:t>
            </w:r>
            <w:r>
              <w:rPr>
                <w:color w:val="000000"/>
                <w:sz w:val="24"/>
                <w:lang w:bidi="ar"/>
              </w:rPr>
              <w:t>元</w:t>
            </w:r>
            <w:r>
              <w:rPr>
                <w:color w:val="000000"/>
                <w:sz w:val="24"/>
                <w:lang w:bidi="ar"/>
              </w:rPr>
              <w:t>/</w:t>
            </w:r>
            <w:r>
              <w:rPr>
                <w:color w:val="000000"/>
                <w:sz w:val="24"/>
                <w:lang w:bidi="ar"/>
              </w:rPr>
              <w:t>股</w:t>
            </w:r>
            <w:r>
              <w:rPr>
                <w:color w:val="000000"/>
                <w:sz w:val="24"/>
                <w:lang w:bidi="ar"/>
              </w:rPr>
              <w:t>)</w:t>
            </w:r>
          </w:p>
        </w:tc>
        <w:tc>
          <w:tcPr>
            <w:tcW w:w="1312"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0.0065</w:t>
            </w:r>
          </w:p>
        </w:tc>
        <w:tc>
          <w:tcPr>
            <w:tcW w:w="1353" w:type="dxa"/>
            <w:shd w:val="clear" w:color="auto" w:fill="auto"/>
            <w:vAlign w:val="center"/>
          </w:tcPr>
          <w:p w:rsidR="00A610B2" w:rsidRDefault="00A95B27">
            <w:pPr>
              <w:widowControl/>
              <w:jc w:val="right"/>
              <w:textAlignment w:val="center"/>
              <w:rPr>
                <w:snapToGrid w:val="0"/>
                <w:color w:val="000000"/>
                <w:kern w:val="0"/>
                <w:sz w:val="24"/>
              </w:rPr>
            </w:pPr>
            <w:r>
              <w:rPr>
                <w:color w:val="000000"/>
                <w:kern w:val="0"/>
                <w:sz w:val="24"/>
                <w:lang w:bidi="ar"/>
              </w:rPr>
              <w:t>0.0079</w:t>
            </w:r>
          </w:p>
        </w:tc>
        <w:tc>
          <w:tcPr>
            <w:tcW w:w="1347" w:type="dxa"/>
            <w:shd w:val="clear" w:color="auto" w:fill="auto"/>
            <w:vAlign w:val="center"/>
          </w:tcPr>
          <w:p w:rsidR="00A610B2" w:rsidRDefault="00A95B27">
            <w:pPr>
              <w:widowControl/>
              <w:jc w:val="right"/>
              <w:textAlignment w:val="center"/>
              <w:rPr>
                <w:rFonts w:eastAsia="Arial"/>
                <w:snapToGrid w:val="0"/>
                <w:color w:val="000000"/>
                <w:kern w:val="0"/>
                <w:sz w:val="24"/>
              </w:rPr>
            </w:pPr>
            <w:r>
              <w:rPr>
                <w:color w:val="000000"/>
                <w:kern w:val="0"/>
                <w:sz w:val="24"/>
                <w:lang w:bidi="ar"/>
              </w:rPr>
              <w:t>0.0071</w:t>
            </w:r>
          </w:p>
        </w:tc>
      </w:tr>
    </w:tbl>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二、关于本次发行股票摊薄即期回报的特别风险提示</w:t>
      </w:r>
      <w:r>
        <w:rPr>
          <w:rFonts w:hint="eastAsia"/>
          <w:b/>
          <w:bCs/>
          <w:color w:val="000000"/>
          <w:kern w:val="0"/>
          <w:sz w:val="24"/>
          <w:lang w:bidi="ar"/>
        </w:rPr>
        <w:tab/>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lastRenderedPageBreak/>
        <w:t>本次募集资金到位后，公司的总股本和净资产将会有一定幅度的增加。由于募集资金项目有一定的建设周期，且从项目建成到产生效益也需要一定的过程和时间。在公司总股本和净资产均增加的情况下，若未来公司收入规模和利润水平不能实现相应幅度的增长，则每股收益等指标将存在一定幅度下降的风险。提请广大投资者注意本次发行摊薄即期回报的风险。</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三、本次发行的必要性和合理性</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本次发行的必要性和合理性分析，详见《关于公司</w:t>
      </w:r>
      <w:r>
        <w:rPr>
          <w:rFonts w:hint="eastAsia"/>
          <w:color w:val="000000"/>
          <w:kern w:val="0"/>
          <w:sz w:val="24"/>
          <w:lang w:bidi="ar"/>
        </w:rPr>
        <w:t>2024</w:t>
      </w:r>
      <w:r>
        <w:rPr>
          <w:rFonts w:hint="eastAsia"/>
          <w:color w:val="000000"/>
          <w:kern w:val="0"/>
          <w:sz w:val="24"/>
          <w:lang w:bidi="ar"/>
        </w:rPr>
        <w:t>年度以简易程序向特定对象发行股票预案》具体分析。</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四、本次募集资金投资项目与公司现有业务的关系以及公司在人员、技术、市场等方面的储备情况</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（一）本次募集资金投资项目与公司现有业务的关系</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公司本次募投项目为宝坻新城第二水厂工程（一期）项目以及补充流动资金，其中宝坻新城第二水厂工程（一期）项目系公司现有主营业务供水业务进一步提升业务规模，补充流动资金主要系提升公司营运资金规模，满足业务发展需求，为公司可持续发展打下良好的基础。因此</w:t>
      </w:r>
      <w:r>
        <w:rPr>
          <w:rFonts w:hint="eastAsia"/>
          <w:color w:val="000000"/>
          <w:kern w:val="0"/>
          <w:sz w:val="24"/>
          <w:lang w:bidi="ar"/>
        </w:rPr>
        <w:t>，本次募集资金主要投向公司的既有业务，有助于公司稳步推进市场扩张，提高市场占有率，符合公司的发展战略。</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（二）公司在人员、技术、市场等方面的储备情况</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1</w:t>
      </w:r>
      <w:r>
        <w:rPr>
          <w:rFonts w:hint="eastAsia"/>
          <w:b/>
          <w:bCs/>
          <w:color w:val="000000"/>
          <w:kern w:val="0"/>
          <w:sz w:val="24"/>
          <w:lang w:bidi="ar"/>
        </w:rPr>
        <w:t>、人员储备</w:t>
      </w:r>
    </w:p>
    <w:p w:rsidR="00A610B2" w:rsidRPr="00C9299C" w:rsidRDefault="00A95B27">
      <w:pPr>
        <w:spacing w:line="520" w:lineRule="atLeast"/>
        <w:ind w:firstLineChars="200" w:firstLine="480"/>
        <w:rPr>
          <w:b/>
          <w:bCs/>
          <w:color w:val="000000"/>
          <w:kern w:val="0"/>
          <w:sz w:val="24"/>
          <w:highlight w:val="yellow"/>
          <w:lang w:bidi="ar"/>
        </w:rPr>
      </w:pPr>
      <w:r>
        <w:rPr>
          <w:rFonts w:hint="eastAsia"/>
          <w:color w:val="000000"/>
          <w:kern w:val="0"/>
          <w:sz w:val="24"/>
          <w:lang w:bidi="ar"/>
        </w:rPr>
        <w:t>近年来，公司始终注重人才队伍的培养，拥有一支稳定专业的管理和研发团队，多年来与公司共同成长，积累了大量的实践经验与管理、研发能力。</w:t>
      </w:r>
      <w:r>
        <w:rPr>
          <w:rFonts w:hint="eastAsia"/>
          <w:color w:val="000000"/>
          <w:kern w:val="0"/>
          <w:sz w:val="24"/>
          <w:lang w:bidi="ar"/>
        </w:rPr>
        <w:t>本次募投项目宝坻新城第二水厂工程（一期）项目为自来水供水业务，公司人员具有丰富的管理及运营经验</w:t>
      </w:r>
      <w:r>
        <w:rPr>
          <w:rFonts w:hint="eastAsia"/>
          <w:color w:val="000000"/>
          <w:kern w:val="0"/>
          <w:sz w:val="24"/>
          <w:lang w:bidi="ar"/>
        </w:rPr>
        <w:t>。</w:t>
      </w:r>
      <w:r>
        <w:rPr>
          <w:rFonts w:hint="eastAsia"/>
          <w:color w:val="000000"/>
          <w:kern w:val="0"/>
          <w:sz w:val="24"/>
          <w:lang w:bidi="ar"/>
        </w:rPr>
        <w:t>高素质的人才队伍为</w:t>
      </w:r>
      <w:r>
        <w:rPr>
          <w:rFonts w:hint="eastAsia"/>
          <w:color w:val="000000"/>
          <w:kern w:val="0"/>
          <w:sz w:val="24"/>
          <w:lang w:bidi="ar"/>
        </w:rPr>
        <w:t>募投项目的实施</w:t>
      </w:r>
      <w:r>
        <w:rPr>
          <w:rFonts w:hint="eastAsia"/>
          <w:color w:val="000000"/>
          <w:kern w:val="0"/>
          <w:sz w:val="24"/>
          <w:lang w:bidi="ar"/>
        </w:rPr>
        <w:t>提供了有力保障。</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2</w:t>
      </w:r>
      <w:r>
        <w:rPr>
          <w:rFonts w:hint="eastAsia"/>
          <w:b/>
          <w:bCs/>
          <w:color w:val="000000"/>
          <w:kern w:val="0"/>
          <w:sz w:val="24"/>
          <w:lang w:bidi="ar"/>
        </w:rPr>
        <w:t>、技术储备</w:t>
      </w:r>
    </w:p>
    <w:p w:rsidR="00A610B2" w:rsidRDefault="00A95B27">
      <w:pPr>
        <w:spacing w:line="520" w:lineRule="atLeast"/>
        <w:ind w:firstLineChars="200" w:firstLine="480"/>
        <w:rPr>
          <w:bCs/>
          <w:color w:val="000000"/>
          <w:kern w:val="0"/>
          <w:sz w:val="24"/>
          <w:lang w:bidi="ar"/>
        </w:rPr>
      </w:pPr>
      <w:r>
        <w:rPr>
          <w:rFonts w:hint="eastAsia"/>
          <w:bCs/>
          <w:color w:val="000000"/>
          <w:kern w:val="0"/>
          <w:sz w:val="24"/>
          <w:lang w:bidi="ar"/>
        </w:rPr>
        <w:t>公司深耕所处行业，</w:t>
      </w:r>
      <w:r>
        <w:rPr>
          <w:color w:val="000000"/>
          <w:kern w:val="0"/>
          <w:sz w:val="24"/>
          <w:lang w:bidi="ar"/>
        </w:rPr>
        <w:t>以科技为引领，将科技优势转化为发展优势，提升公司的核心竞争力、增强核心功能</w:t>
      </w:r>
      <w:r>
        <w:rPr>
          <w:rFonts w:hint="eastAsia"/>
          <w:color w:val="000000"/>
          <w:kern w:val="0"/>
          <w:sz w:val="24"/>
          <w:lang w:bidi="ar"/>
        </w:rPr>
        <w:t>。公司建有国家级院士专家工作站、全流程自动控制系统及独立知识产权的“大数据控制中心”。截至</w:t>
      </w:r>
      <w:r>
        <w:rPr>
          <w:rFonts w:hint="eastAsia"/>
          <w:color w:val="000000"/>
          <w:kern w:val="0"/>
          <w:sz w:val="24"/>
          <w:lang w:bidi="ar"/>
        </w:rPr>
        <w:t>2023</w:t>
      </w:r>
      <w:r>
        <w:rPr>
          <w:rFonts w:hint="eastAsia"/>
          <w:color w:val="000000"/>
          <w:kern w:val="0"/>
          <w:sz w:val="24"/>
          <w:lang w:bidi="ar"/>
        </w:rPr>
        <w:t>年</w:t>
      </w:r>
      <w:r>
        <w:rPr>
          <w:rFonts w:hint="eastAsia"/>
          <w:color w:val="000000"/>
          <w:kern w:val="0"/>
          <w:sz w:val="24"/>
          <w:lang w:bidi="ar"/>
        </w:rPr>
        <w:t>9</w:t>
      </w:r>
      <w:r>
        <w:rPr>
          <w:rFonts w:hint="eastAsia"/>
          <w:color w:val="000000"/>
          <w:kern w:val="0"/>
          <w:sz w:val="24"/>
          <w:lang w:bidi="ar"/>
        </w:rPr>
        <w:t>月末，公司已取</w:t>
      </w:r>
      <w:r>
        <w:rPr>
          <w:rFonts w:hint="eastAsia"/>
          <w:color w:val="000000"/>
          <w:kern w:val="0"/>
          <w:sz w:val="24"/>
          <w:lang w:bidi="ar"/>
        </w:rPr>
        <w:lastRenderedPageBreak/>
        <w:t>得授权专利</w:t>
      </w:r>
      <w:r>
        <w:rPr>
          <w:rFonts w:hint="eastAsia"/>
          <w:color w:val="000000"/>
          <w:kern w:val="0"/>
          <w:sz w:val="24"/>
          <w:lang w:bidi="ar"/>
        </w:rPr>
        <w:t>97</w:t>
      </w:r>
      <w:r>
        <w:rPr>
          <w:rFonts w:hint="eastAsia"/>
          <w:color w:val="000000"/>
          <w:kern w:val="0"/>
          <w:sz w:val="24"/>
          <w:lang w:bidi="ar"/>
        </w:rPr>
        <w:t>项，研发实力和技术储备为项目开展提供了</w:t>
      </w:r>
      <w:r>
        <w:rPr>
          <w:rFonts w:hint="eastAsia"/>
          <w:bCs/>
          <w:color w:val="000000"/>
          <w:kern w:val="0"/>
          <w:sz w:val="24"/>
          <w:lang w:bidi="ar"/>
        </w:rPr>
        <w:t>技术支持。</w:t>
      </w:r>
    </w:p>
    <w:p w:rsidR="00A610B2" w:rsidRPr="00C9299C" w:rsidRDefault="00A95B27">
      <w:pPr>
        <w:spacing w:line="520" w:lineRule="atLeast"/>
        <w:ind w:firstLineChars="200" w:firstLine="482"/>
        <w:rPr>
          <w:b/>
          <w:bCs/>
          <w:color w:val="000000"/>
          <w:kern w:val="0"/>
          <w:sz w:val="24"/>
          <w:highlight w:val="yellow"/>
          <w:lang w:bidi="ar"/>
        </w:rPr>
      </w:pPr>
      <w:r>
        <w:rPr>
          <w:rFonts w:hint="eastAsia"/>
          <w:b/>
          <w:bCs/>
          <w:color w:val="000000"/>
          <w:kern w:val="0"/>
          <w:sz w:val="24"/>
          <w:lang w:bidi="ar"/>
        </w:rPr>
        <w:t>3</w:t>
      </w:r>
      <w:r>
        <w:rPr>
          <w:rFonts w:hint="eastAsia"/>
          <w:b/>
          <w:bCs/>
          <w:color w:val="000000"/>
          <w:kern w:val="0"/>
          <w:sz w:val="24"/>
          <w:lang w:bidi="ar"/>
        </w:rPr>
        <w:t>、市场储备</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公司是滨海新区引滦原水的主要供应商和部分区域的自来水供应商，相继组建了多家控股水务公司，投资建设了一系列引水管线工程和水处理输配工程</w:t>
      </w:r>
      <w:r>
        <w:rPr>
          <w:rFonts w:hint="eastAsia"/>
          <w:color w:val="000000"/>
          <w:kern w:val="0"/>
          <w:sz w:val="24"/>
          <w:lang w:bidi="ar"/>
        </w:rPr>
        <w:t>，</w:t>
      </w:r>
      <w:r>
        <w:rPr>
          <w:rFonts w:hint="eastAsia"/>
          <w:color w:val="000000"/>
          <w:kern w:val="0"/>
          <w:sz w:val="24"/>
          <w:lang w:bidi="ar"/>
        </w:rPr>
        <w:t>形成了厂网</w:t>
      </w:r>
      <w:r>
        <w:rPr>
          <w:rFonts w:hint="eastAsia"/>
          <w:color w:val="000000"/>
          <w:kern w:val="0"/>
          <w:sz w:val="24"/>
          <w:lang w:bidi="ar"/>
        </w:rPr>
        <w:t>一体化的运作模式</w:t>
      </w:r>
      <w:r>
        <w:rPr>
          <w:rFonts w:hint="eastAsia"/>
          <w:color w:val="000000"/>
          <w:kern w:val="0"/>
          <w:sz w:val="24"/>
          <w:lang w:bidi="ar"/>
        </w:rPr>
        <w:t>。</w:t>
      </w:r>
      <w:r>
        <w:rPr>
          <w:rFonts w:hint="eastAsia"/>
          <w:color w:val="000000"/>
          <w:kern w:val="0"/>
          <w:sz w:val="24"/>
          <w:lang w:bidi="ar"/>
        </w:rPr>
        <w:t>自来水业务主要依赖两方面的基础建设，即自来水厂和输水管网，水厂供水规模和输水管网长度、辐射面积决定了未来的可供水区域的大小。</w:t>
      </w:r>
      <w:r>
        <w:rPr>
          <w:rFonts w:hint="eastAsia"/>
          <w:color w:val="000000"/>
          <w:kern w:val="0"/>
          <w:sz w:val="24"/>
          <w:lang w:bidi="ar"/>
        </w:rPr>
        <w:t>伴随着供水业务的不断扩展，公司</w:t>
      </w:r>
      <w:r>
        <w:rPr>
          <w:rFonts w:hint="eastAsia"/>
          <w:color w:val="000000"/>
          <w:kern w:val="0"/>
          <w:sz w:val="24"/>
          <w:lang w:bidi="ar"/>
        </w:rPr>
        <w:t>可</w:t>
      </w:r>
      <w:r>
        <w:rPr>
          <w:rFonts w:hint="eastAsia"/>
          <w:color w:val="000000"/>
          <w:kern w:val="0"/>
          <w:sz w:val="24"/>
          <w:lang w:bidi="ar"/>
        </w:rPr>
        <w:t>充分利用厂网一体化的优势，提高市场占有率</w:t>
      </w:r>
      <w:r>
        <w:rPr>
          <w:rFonts w:hint="eastAsia"/>
          <w:color w:val="000000"/>
          <w:kern w:val="0"/>
          <w:sz w:val="24"/>
          <w:lang w:bidi="ar"/>
        </w:rPr>
        <w:t>及</w:t>
      </w:r>
      <w:r>
        <w:rPr>
          <w:rFonts w:hint="eastAsia"/>
          <w:color w:val="000000"/>
          <w:kern w:val="0"/>
          <w:sz w:val="24"/>
          <w:lang w:bidi="ar"/>
        </w:rPr>
        <w:t>对目标市场的挖掘力和开拓力</w:t>
      </w:r>
      <w:r>
        <w:rPr>
          <w:rFonts w:hint="eastAsia"/>
          <w:color w:val="000000"/>
          <w:kern w:val="0"/>
          <w:sz w:val="24"/>
          <w:lang w:bidi="ar"/>
        </w:rPr>
        <w:t>。</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综上所述，公司本次募集资金投资项目在人员、技术、市场等方面均具有良好的资源储备，能够保证募投项目的顺利实施。</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五、本次发行摊薄即期回报的填补措施</w:t>
      </w:r>
      <w:r>
        <w:rPr>
          <w:rFonts w:hint="eastAsia"/>
          <w:b/>
          <w:bCs/>
          <w:color w:val="000000"/>
          <w:kern w:val="0"/>
          <w:sz w:val="24"/>
          <w:lang w:bidi="ar"/>
        </w:rPr>
        <w:tab/>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为保护投资者利益，保证公司本次募集资金的有效使用，防范即期回报被摊薄的风险，提高对公司</w:t>
      </w:r>
      <w:r>
        <w:rPr>
          <w:rFonts w:hint="eastAsia"/>
          <w:color w:val="000000"/>
          <w:kern w:val="0"/>
          <w:sz w:val="24"/>
          <w:lang w:bidi="ar"/>
        </w:rPr>
        <w:t>股东回报能力，公司拟采取如下填补措施：</w:t>
      </w:r>
    </w:p>
    <w:p w:rsidR="00A610B2" w:rsidRDefault="00A95B27">
      <w:pPr>
        <w:spacing w:line="520" w:lineRule="atLeast"/>
        <w:ind w:firstLineChars="200" w:firstLine="482"/>
        <w:rPr>
          <w:b/>
          <w:bCs/>
          <w:color w:val="000000"/>
          <w:kern w:val="0"/>
          <w:sz w:val="24"/>
          <w:lang w:bidi="ar"/>
        </w:rPr>
      </w:pPr>
      <w:r>
        <w:rPr>
          <w:b/>
          <w:bCs/>
          <w:color w:val="000000"/>
          <w:kern w:val="0"/>
          <w:sz w:val="24"/>
          <w:lang w:bidi="ar"/>
        </w:rPr>
        <w:t>（一）加强募集资金管理，确保募集资金使用合法合规</w:t>
      </w:r>
    </w:p>
    <w:p w:rsidR="00A610B2" w:rsidRDefault="00A95B27">
      <w:pPr>
        <w:spacing w:line="520" w:lineRule="atLeast"/>
        <w:ind w:firstLineChars="200" w:firstLine="480"/>
        <w:rPr>
          <w:color w:val="000000"/>
          <w:kern w:val="0"/>
          <w:sz w:val="24"/>
          <w:lang w:bidi="ar"/>
        </w:rPr>
      </w:pPr>
      <w:r>
        <w:rPr>
          <w:color w:val="000000"/>
          <w:kern w:val="0"/>
          <w:sz w:val="24"/>
          <w:lang w:bidi="ar"/>
        </w:rPr>
        <w:t>为了规范公司募集资金的管理和运用，切实保护投资者的合法权益，公司制定了《募集资金管理制度》，对募集资金存储、使用、监督和责任追究等内容进行明确规定。公司将严格遵守《募集资金管理制度》等相关规定，由保荐机构、存管银行、公司共同监管募集资金按照承诺用途和金额使用，保障募集资金用于承诺的投资项目，配合监管银行和保荐机构对募集资金使用的检查和监督。</w:t>
      </w:r>
    </w:p>
    <w:p w:rsidR="00A610B2" w:rsidRDefault="00A95B27">
      <w:pPr>
        <w:spacing w:line="520" w:lineRule="atLeast"/>
        <w:ind w:firstLineChars="200" w:firstLine="482"/>
        <w:rPr>
          <w:b/>
          <w:bCs/>
          <w:color w:val="000000"/>
          <w:kern w:val="0"/>
          <w:sz w:val="24"/>
          <w:lang w:bidi="ar"/>
        </w:rPr>
      </w:pPr>
      <w:bookmarkStart w:id="2" w:name="_Toc140187627"/>
      <w:r>
        <w:rPr>
          <w:b/>
          <w:bCs/>
          <w:color w:val="000000"/>
          <w:kern w:val="0"/>
          <w:sz w:val="24"/>
          <w:lang w:bidi="ar"/>
        </w:rPr>
        <w:t>（二）积极落实募集资金投资项目，助力公司业务发展</w:t>
      </w:r>
      <w:bookmarkEnd w:id="2"/>
    </w:p>
    <w:p w:rsidR="00A610B2" w:rsidRDefault="00A95B27">
      <w:pPr>
        <w:spacing w:line="520" w:lineRule="atLeast"/>
        <w:ind w:firstLineChars="200" w:firstLine="480"/>
        <w:rPr>
          <w:color w:val="000000"/>
          <w:kern w:val="0"/>
          <w:sz w:val="24"/>
          <w:lang w:bidi="ar"/>
        </w:rPr>
      </w:pPr>
      <w:r>
        <w:rPr>
          <w:color w:val="000000"/>
          <w:kern w:val="0"/>
          <w:sz w:val="24"/>
          <w:lang w:bidi="ar"/>
        </w:rPr>
        <w:t>公司董事会已对本次发行募集资金投资项目的可行性进行了充分论证，募投项目符合行业发展趋势及公司未来整体战略发展方向。通过本次发行募集资金投资项目的实施，公司将进一步夯实资本实力，优化公司治理结构和资产结构，扩大经营规模和市场占有率。在募集资金到位后，公司将积极推进和落实募集资金投资项目的开展工作</w:t>
      </w:r>
      <w:r>
        <w:rPr>
          <w:rFonts w:hint="eastAsia"/>
          <w:color w:val="000000"/>
          <w:kern w:val="0"/>
          <w:sz w:val="24"/>
          <w:lang w:bidi="ar"/>
        </w:rPr>
        <w:t>，确保募投项目的效益最大化</w:t>
      </w:r>
      <w:r>
        <w:rPr>
          <w:color w:val="000000"/>
          <w:kern w:val="0"/>
          <w:sz w:val="24"/>
          <w:lang w:bidi="ar"/>
        </w:rPr>
        <w:t>。</w:t>
      </w:r>
    </w:p>
    <w:p w:rsidR="00A610B2" w:rsidRDefault="00A95B27">
      <w:pPr>
        <w:spacing w:line="520" w:lineRule="atLeast"/>
        <w:ind w:firstLineChars="200" w:firstLine="482"/>
        <w:rPr>
          <w:b/>
          <w:bCs/>
          <w:color w:val="000000"/>
          <w:kern w:val="0"/>
          <w:sz w:val="24"/>
          <w:lang w:bidi="ar"/>
        </w:rPr>
      </w:pPr>
      <w:bookmarkStart w:id="3" w:name="_Toc140187628"/>
      <w:r>
        <w:rPr>
          <w:b/>
          <w:bCs/>
          <w:color w:val="000000"/>
          <w:kern w:val="0"/>
          <w:sz w:val="24"/>
          <w:lang w:bidi="ar"/>
        </w:rPr>
        <w:t>（三）不断完善公司治理，为公司发展提供制度保障</w:t>
      </w:r>
      <w:bookmarkEnd w:id="3"/>
    </w:p>
    <w:p w:rsidR="00A610B2" w:rsidRDefault="00A95B27">
      <w:pPr>
        <w:spacing w:line="520" w:lineRule="atLeast"/>
        <w:ind w:firstLineChars="200" w:firstLine="480"/>
        <w:rPr>
          <w:color w:val="000000"/>
          <w:kern w:val="0"/>
          <w:sz w:val="24"/>
          <w:lang w:bidi="ar"/>
        </w:rPr>
      </w:pPr>
      <w:r>
        <w:rPr>
          <w:color w:val="000000"/>
          <w:kern w:val="0"/>
          <w:sz w:val="24"/>
          <w:lang w:bidi="ar"/>
        </w:rPr>
        <w:lastRenderedPageBreak/>
        <w:t>公司将严格遵循《公司法》《证券法》《上市公司治理准则》等法律、法规和规范性文件的要求，不断完善公司治理结构，确保股东能够充分行使权利，确保董</w:t>
      </w:r>
      <w:r>
        <w:rPr>
          <w:color w:val="000000"/>
          <w:kern w:val="0"/>
          <w:sz w:val="24"/>
          <w:lang w:bidi="ar"/>
        </w:rPr>
        <w:t>事会能够按照法律、法规和公司章程的规定行使职权，作出科学、迅速和谨慎的决策，确保独立董事能够认真履行职责，维护公司整体利益，尤其是中小股东的合法权益，确保监事会能够独立有效地行使对董事、经理和其他高级管理人员及公司财务的监督权和检查权，为公司发展提供制度保障。</w:t>
      </w:r>
      <w:bookmarkStart w:id="4" w:name="_bookmark114"/>
      <w:bookmarkStart w:id="5" w:name="_Toc140187629"/>
      <w:bookmarkEnd w:id="4"/>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（四）进一步完善现金分红政策，注重投资者回报及权益保护</w:t>
      </w:r>
      <w:bookmarkEnd w:id="5"/>
    </w:p>
    <w:p w:rsidR="00A610B2" w:rsidRDefault="00A95B27">
      <w:pPr>
        <w:spacing w:line="520" w:lineRule="atLeast"/>
        <w:ind w:firstLineChars="200" w:firstLine="480"/>
        <w:rPr>
          <w:color w:val="000000"/>
          <w:kern w:val="0"/>
          <w:sz w:val="24"/>
          <w:lang w:bidi="ar"/>
        </w:rPr>
      </w:pPr>
      <w:r>
        <w:rPr>
          <w:color w:val="000000"/>
          <w:kern w:val="0"/>
          <w:sz w:val="24"/>
          <w:lang w:bidi="ar"/>
        </w:rPr>
        <w:t>根据中国证监会《关于进一步落实上市公司现金分红有关事项的通知》《上市公司监管指引第</w:t>
      </w:r>
      <w:r>
        <w:rPr>
          <w:color w:val="000000"/>
          <w:kern w:val="0"/>
          <w:sz w:val="24"/>
          <w:lang w:bidi="ar"/>
        </w:rPr>
        <w:t>3</w:t>
      </w:r>
      <w:r>
        <w:rPr>
          <w:color w:val="000000"/>
          <w:kern w:val="0"/>
          <w:sz w:val="24"/>
          <w:lang w:bidi="ar"/>
        </w:rPr>
        <w:t>号</w:t>
      </w:r>
      <w:r>
        <w:rPr>
          <w:color w:val="000000"/>
          <w:kern w:val="0"/>
          <w:sz w:val="24"/>
          <w:lang w:bidi="ar"/>
        </w:rPr>
        <w:t>——</w:t>
      </w:r>
      <w:r>
        <w:rPr>
          <w:color w:val="000000"/>
          <w:kern w:val="0"/>
          <w:sz w:val="24"/>
          <w:lang w:bidi="ar"/>
        </w:rPr>
        <w:t>上市公司现金分红》等相关规定，为不断完善公司持续、稳定的利润分配政策、分红决策和监督机制，积极回报投资者</w:t>
      </w:r>
      <w:r>
        <w:rPr>
          <w:color w:val="000000"/>
          <w:kern w:val="0"/>
          <w:sz w:val="24"/>
          <w:lang w:bidi="ar"/>
        </w:rPr>
        <w:t>，公司结合自身实际情况，制定了《</w:t>
      </w:r>
      <w:r>
        <w:rPr>
          <w:rFonts w:hint="eastAsia"/>
          <w:color w:val="000000"/>
          <w:kern w:val="0"/>
          <w:sz w:val="24"/>
          <w:lang w:bidi="ar"/>
        </w:rPr>
        <w:t>未来三年（</w:t>
      </w:r>
      <w:r>
        <w:rPr>
          <w:rFonts w:hint="eastAsia"/>
          <w:color w:val="000000"/>
          <w:kern w:val="0"/>
          <w:sz w:val="24"/>
          <w:lang w:bidi="ar"/>
        </w:rPr>
        <w:t>2023-2025</w:t>
      </w:r>
      <w:r>
        <w:rPr>
          <w:rFonts w:hint="eastAsia"/>
          <w:color w:val="000000"/>
          <w:kern w:val="0"/>
          <w:sz w:val="24"/>
          <w:lang w:bidi="ar"/>
        </w:rPr>
        <w:t>年）股东回报规划</w:t>
      </w:r>
      <w:r>
        <w:rPr>
          <w:color w:val="000000"/>
          <w:kern w:val="0"/>
          <w:sz w:val="24"/>
          <w:lang w:bidi="ar"/>
        </w:rPr>
        <w:t>》。本次发行完成后，公司将切实执行现金分红政策，在符合利润分配条件的情况下，积极落实对股东的利润分配，促进对投资者持续、稳定和科学的回报，切实保障投资者的权益。</w:t>
      </w:r>
    </w:p>
    <w:p w:rsidR="00A610B2" w:rsidRDefault="00A95B27">
      <w:pPr>
        <w:spacing w:line="520" w:lineRule="atLeast"/>
        <w:ind w:firstLineChars="200" w:firstLine="480"/>
        <w:rPr>
          <w:color w:val="000000"/>
          <w:kern w:val="0"/>
          <w:sz w:val="24"/>
          <w:lang w:bidi="ar"/>
        </w:rPr>
      </w:pPr>
      <w:r>
        <w:rPr>
          <w:color w:val="000000"/>
          <w:kern w:val="0"/>
          <w:sz w:val="24"/>
          <w:lang w:bidi="ar"/>
        </w:rPr>
        <w:t>同时，公司提请投资者注意，上述填补回报的措施不等于对公司未来利润做出保证或承诺。</w:t>
      </w:r>
    </w:p>
    <w:p w:rsidR="00A610B2" w:rsidRDefault="00A95B27">
      <w:pPr>
        <w:spacing w:line="520" w:lineRule="atLeast"/>
        <w:ind w:firstLineChars="200" w:firstLine="482"/>
        <w:rPr>
          <w:b/>
          <w:bCs/>
          <w:color w:val="000000"/>
          <w:kern w:val="0"/>
          <w:sz w:val="24"/>
          <w:lang w:bidi="ar"/>
        </w:rPr>
      </w:pPr>
      <w:r>
        <w:rPr>
          <w:rFonts w:hint="eastAsia"/>
          <w:b/>
          <w:bCs/>
          <w:color w:val="000000"/>
          <w:kern w:val="0"/>
          <w:sz w:val="24"/>
          <w:lang w:bidi="ar"/>
        </w:rPr>
        <w:t>六、公司董事、高级管理人员以及公司控股股东</w:t>
      </w:r>
      <w:r>
        <w:rPr>
          <w:rFonts w:hint="eastAsia"/>
          <w:b/>
          <w:bCs/>
          <w:color w:val="000000"/>
          <w:kern w:val="0"/>
          <w:sz w:val="24"/>
          <w:lang w:bidi="ar"/>
        </w:rPr>
        <w:t>对公司填补回报措施能够得到切实履行的承诺</w:t>
      </w:r>
    </w:p>
    <w:p w:rsidR="00A610B2" w:rsidRDefault="00A95B27">
      <w:pPr>
        <w:spacing w:line="520" w:lineRule="atLeast"/>
        <w:ind w:firstLineChars="200" w:firstLine="482"/>
        <w:rPr>
          <w:b/>
          <w:bCs/>
          <w:color w:val="000000"/>
          <w:kern w:val="0"/>
          <w:sz w:val="24"/>
          <w:lang w:bidi="ar"/>
        </w:rPr>
      </w:pPr>
      <w:bookmarkStart w:id="6" w:name="_Toc140187631"/>
      <w:r>
        <w:rPr>
          <w:b/>
          <w:bCs/>
          <w:color w:val="000000"/>
          <w:kern w:val="0"/>
          <w:sz w:val="24"/>
          <w:lang w:bidi="ar"/>
        </w:rPr>
        <w:t>（一）公司董事、高级管理人员对公司填补回报措施能够得到切实履行的承诺</w:t>
      </w:r>
      <w:bookmarkEnd w:id="6"/>
    </w:p>
    <w:p w:rsidR="00A610B2" w:rsidRDefault="00A95B27">
      <w:pPr>
        <w:spacing w:line="520" w:lineRule="atLeast"/>
        <w:ind w:firstLineChars="200" w:firstLine="480"/>
        <w:rPr>
          <w:color w:val="000000"/>
          <w:kern w:val="0"/>
          <w:sz w:val="24"/>
          <w:lang w:bidi="ar"/>
        </w:rPr>
      </w:pPr>
      <w:r>
        <w:rPr>
          <w:color w:val="000000"/>
          <w:kern w:val="0"/>
          <w:sz w:val="24"/>
          <w:lang w:bidi="ar"/>
        </w:rPr>
        <w:t>为确保公司</w:t>
      </w:r>
      <w:r>
        <w:rPr>
          <w:rFonts w:hint="eastAsia"/>
          <w:color w:val="000000"/>
          <w:kern w:val="0"/>
          <w:sz w:val="24"/>
          <w:lang w:bidi="ar"/>
        </w:rPr>
        <w:t>本次</w:t>
      </w:r>
      <w:r>
        <w:rPr>
          <w:color w:val="000000"/>
          <w:kern w:val="0"/>
          <w:sz w:val="24"/>
          <w:lang w:bidi="ar"/>
        </w:rPr>
        <w:t>发行摊薄即期</w:t>
      </w:r>
      <w:r>
        <w:rPr>
          <w:color w:val="000000"/>
          <w:kern w:val="0"/>
          <w:sz w:val="24"/>
          <w:lang w:bidi="ar"/>
        </w:rPr>
        <w:t>回报事项的填补回报措施能够得到切实履行，维护公司及全体股东的合法权益，公司董事、高级管理人员作出如下承诺：</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w:t>
      </w:r>
      <w:r>
        <w:rPr>
          <w:rFonts w:hint="eastAsia"/>
          <w:color w:val="000000"/>
          <w:kern w:val="0"/>
          <w:sz w:val="24"/>
          <w:lang w:bidi="ar"/>
        </w:rPr>
        <w:t>1</w:t>
      </w:r>
      <w:r>
        <w:rPr>
          <w:color w:val="000000"/>
          <w:kern w:val="0"/>
          <w:sz w:val="24"/>
          <w:lang w:bidi="ar"/>
        </w:rPr>
        <w:t>、</w:t>
      </w:r>
      <w:r>
        <w:rPr>
          <w:rFonts w:hint="eastAsia"/>
          <w:color w:val="000000"/>
          <w:kern w:val="0"/>
          <w:sz w:val="24"/>
          <w:lang w:bidi="ar"/>
        </w:rPr>
        <w:t>本人承诺忠实、勤勉地履行职责，维护公司和全体股东的合法权益；</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2</w:t>
      </w:r>
      <w:r>
        <w:rPr>
          <w:rFonts w:hint="eastAsia"/>
          <w:color w:val="000000"/>
          <w:kern w:val="0"/>
          <w:sz w:val="24"/>
          <w:lang w:bidi="ar"/>
        </w:rPr>
        <w:t>、</w:t>
      </w:r>
      <w:r>
        <w:rPr>
          <w:color w:val="000000"/>
          <w:kern w:val="0"/>
          <w:sz w:val="24"/>
          <w:lang w:bidi="ar"/>
        </w:rPr>
        <w:t>本人承诺不无偿或以不公平条件向其他单位或者个人输送利益，也不采用其他方式损害公司利益；</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3</w:t>
      </w:r>
      <w:r>
        <w:rPr>
          <w:color w:val="000000"/>
          <w:kern w:val="0"/>
          <w:sz w:val="24"/>
          <w:lang w:bidi="ar"/>
        </w:rPr>
        <w:t>、本人承诺对本人的职务消费行为进行约束；</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lastRenderedPageBreak/>
        <w:t>4</w:t>
      </w:r>
      <w:r>
        <w:rPr>
          <w:color w:val="000000"/>
          <w:kern w:val="0"/>
          <w:sz w:val="24"/>
          <w:lang w:bidi="ar"/>
        </w:rPr>
        <w:t>、本人承诺不动用公司资产从事与本人履行职责无关的投资、消费活动；</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5</w:t>
      </w:r>
      <w:r>
        <w:rPr>
          <w:color w:val="000000"/>
          <w:kern w:val="0"/>
          <w:sz w:val="24"/>
          <w:lang w:bidi="ar"/>
        </w:rPr>
        <w:t>、本人同意，由董事会或薪酬与考核委员会制定的薪酬制度与公司填补回报措施的执行情况相挂钩；</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6</w:t>
      </w:r>
      <w:r>
        <w:rPr>
          <w:color w:val="000000"/>
          <w:kern w:val="0"/>
          <w:sz w:val="24"/>
          <w:lang w:bidi="ar"/>
        </w:rPr>
        <w:t>、本人同意，如公司未来拟对本人实施股权</w:t>
      </w:r>
      <w:r>
        <w:rPr>
          <w:color w:val="000000"/>
          <w:kern w:val="0"/>
          <w:sz w:val="24"/>
          <w:lang w:bidi="ar"/>
        </w:rPr>
        <w:t>激励，公司股权激励的行权条件与公司填补回报措施的执行情况相挂钩；</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7</w:t>
      </w:r>
      <w:r>
        <w:rPr>
          <w:color w:val="000000"/>
          <w:kern w:val="0"/>
          <w:sz w:val="24"/>
          <w:lang w:bidi="ar"/>
        </w:rPr>
        <w:t>、本人承诺，在本承诺函出具日后至公司本次发行股票实施完毕前，若中国证监会、深圳证券交易所另行发布摊薄即期填补回报措施及其承诺的相关意见及实施细则，且本人已作出的承诺无法满足证券监管部门该等新规定时，本人承诺届时将按照中国证监会及深圳证券交易所的规定出具补充承诺；</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8</w:t>
      </w:r>
      <w:r>
        <w:rPr>
          <w:color w:val="000000"/>
          <w:kern w:val="0"/>
          <w:sz w:val="24"/>
          <w:lang w:bidi="ar"/>
        </w:rPr>
        <w:t>、本人承诺切实履行公司制定的有关填补回报措施以及本人对此作出的任何有关填补回报措施的承诺，若本人违反前述承诺或拒不履行前述承诺并给公司或股东造成损失的，本人将依法承担相应的补偿责任。</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作为填补即期回报措施相关责任主体之一，若违反上述承诺或拒不履行上述承诺，本人同意，中国证监会、深圳证券交易所等证券监管机构按照其制定或发布的有关规定、规则，对本人做出相关处罚或采取相关监管措施。”</w:t>
      </w:r>
    </w:p>
    <w:p w:rsidR="00A610B2" w:rsidRDefault="00A95B27">
      <w:pPr>
        <w:spacing w:line="520" w:lineRule="atLeast"/>
        <w:ind w:firstLineChars="200" w:firstLine="482"/>
        <w:rPr>
          <w:b/>
          <w:bCs/>
          <w:color w:val="000000"/>
          <w:kern w:val="0"/>
          <w:sz w:val="24"/>
          <w:lang w:bidi="ar"/>
        </w:rPr>
      </w:pPr>
      <w:bookmarkStart w:id="7" w:name="_Toc140187632"/>
      <w:r>
        <w:rPr>
          <w:b/>
          <w:bCs/>
          <w:color w:val="000000"/>
          <w:kern w:val="0"/>
          <w:sz w:val="24"/>
          <w:lang w:bidi="ar"/>
        </w:rPr>
        <w:t>（二）公司控股股东</w:t>
      </w:r>
      <w:r>
        <w:rPr>
          <w:b/>
          <w:bCs/>
          <w:color w:val="000000"/>
          <w:kern w:val="0"/>
          <w:sz w:val="24"/>
          <w:lang w:bidi="ar"/>
        </w:rPr>
        <w:t>对公司填补回报措施能够得到切实履行的承诺</w:t>
      </w:r>
      <w:bookmarkEnd w:id="7"/>
    </w:p>
    <w:p w:rsidR="00A610B2" w:rsidRDefault="00A95B27">
      <w:pPr>
        <w:spacing w:line="520" w:lineRule="atLeast"/>
        <w:ind w:firstLineChars="200" w:firstLine="480"/>
        <w:rPr>
          <w:color w:val="000000"/>
          <w:kern w:val="0"/>
          <w:sz w:val="24"/>
          <w:lang w:bidi="ar"/>
        </w:rPr>
      </w:pPr>
      <w:r>
        <w:rPr>
          <w:color w:val="000000"/>
          <w:kern w:val="0"/>
          <w:sz w:val="24"/>
          <w:lang w:bidi="ar"/>
        </w:rPr>
        <w:t>为确保公司</w:t>
      </w:r>
      <w:r>
        <w:rPr>
          <w:rFonts w:hint="eastAsia"/>
          <w:color w:val="000000"/>
          <w:kern w:val="0"/>
          <w:sz w:val="24"/>
          <w:lang w:bidi="ar"/>
        </w:rPr>
        <w:t>本次</w:t>
      </w:r>
      <w:r>
        <w:rPr>
          <w:color w:val="000000"/>
          <w:kern w:val="0"/>
          <w:sz w:val="24"/>
          <w:lang w:bidi="ar"/>
        </w:rPr>
        <w:t>发行摊薄即期回报事项的填补回报措施能够得到切实履行，维护公司及全体股东的合法权益，公司控股股东</w:t>
      </w:r>
      <w:r>
        <w:rPr>
          <w:rFonts w:hint="eastAsia"/>
          <w:color w:val="000000"/>
          <w:kern w:val="0"/>
          <w:sz w:val="24"/>
          <w:lang w:bidi="ar"/>
        </w:rPr>
        <w:t>天津兴津企业管理有限公司</w:t>
      </w:r>
      <w:r>
        <w:rPr>
          <w:color w:val="000000"/>
          <w:kern w:val="0"/>
          <w:sz w:val="24"/>
          <w:lang w:bidi="ar"/>
        </w:rPr>
        <w:t>作出如下承诺：</w:t>
      </w:r>
    </w:p>
    <w:p w:rsidR="00A610B2" w:rsidRDefault="00A95B27">
      <w:pPr>
        <w:spacing w:line="520" w:lineRule="atLeast"/>
        <w:ind w:firstLineChars="200" w:firstLine="480"/>
        <w:rPr>
          <w:color w:val="000000"/>
          <w:kern w:val="0"/>
          <w:sz w:val="24"/>
          <w:lang w:bidi="ar"/>
        </w:rPr>
      </w:pPr>
      <w:r>
        <w:rPr>
          <w:rFonts w:hint="eastAsia"/>
          <w:color w:val="000000"/>
          <w:kern w:val="0"/>
          <w:sz w:val="24"/>
          <w:lang w:bidi="ar"/>
        </w:rPr>
        <w:t>“</w:t>
      </w:r>
      <w:r>
        <w:rPr>
          <w:color w:val="000000"/>
          <w:kern w:val="0"/>
          <w:sz w:val="24"/>
          <w:lang w:bidi="ar"/>
        </w:rPr>
        <w:t>1</w:t>
      </w:r>
      <w:r>
        <w:rPr>
          <w:color w:val="000000"/>
          <w:kern w:val="0"/>
          <w:sz w:val="24"/>
          <w:lang w:bidi="ar"/>
        </w:rPr>
        <w:t>、</w:t>
      </w:r>
      <w:r>
        <w:rPr>
          <w:rFonts w:hint="eastAsia"/>
          <w:color w:val="000000"/>
          <w:kern w:val="0"/>
          <w:sz w:val="24"/>
          <w:lang w:bidi="ar"/>
        </w:rPr>
        <w:t>公司</w:t>
      </w:r>
      <w:r>
        <w:rPr>
          <w:color w:val="000000"/>
          <w:kern w:val="0"/>
          <w:sz w:val="24"/>
          <w:lang w:bidi="ar"/>
        </w:rPr>
        <w:t>承诺，</w:t>
      </w:r>
      <w:r>
        <w:rPr>
          <w:rFonts w:hint="eastAsia"/>
          <w:color w:val="000000"/>
          <w:kern w:val="0"/>
          <w:sz w:val="24"/>
          <w:lang w:bidi="ar"/>
        </w:rPr>
        <w:t>将严格遵守法律法规及中国证监会、深圳证券交易所的有关监管规则，</w:t>
      </w:r>
      <w:r>
        <w:rPr>
          <w:color w:val="000000"/>
          <w:kern w:val="0"/>
          <w:sz w:val="24"/>
          <w:lang w:bidi="ar"/>
        </w:rPr>
        <w:t>不会越权干预公司经营管理活动，不侵占公司利益，前述承诺是无条件且不可撤销的；</w:t>
      </w:r>
    </w:p>
    <w:p w:rsidR="00A610B2" w:rsidRDefault="00A95B27">
      <w:pPr>
        <w:spacing w:line="520" w:lineRule="atLeast"/>
        <w:ind w:firstLineChars="200" w:firstLine="480"/>
        <w:rPr>
          <w:color w:val="000000"/>
          <w:kern w:val="0"/>
          <w:sz w:val="24"/>
          <w:lang w:bidi="ar"/>
        </w:rPr>
      </w:pPr>
      <w:r>
        <w:rPr>
          <w:color w:val="000000"/>
          <w:kern w:val="0"/>
          <w:sz w:val="24"/>
          <w:lang w:bidi="ar"/>
        </w:rPr>
        <w:t>2</w:t>
      </w:r>
      <w:r>
        <w:rPr>
          <w:color w:val="000000"/>
          <w:kern w:val="0"/>
          <w:sz w:val="24"/>
          <w:lang w:bidi="ar"/>
        </w:rPr>
        <w:t>、</w:t>
      </w:r>
      <w:r>
        <w:rPr>
          <w:rFonts w:hint="eastAsia"/>
          <w:color w:val="000000"/>
          <w:kern w:val="0"/>
          <w:sz w:val="24"/>
          <w:lang w:bidi="ar"/>
        </w:rPr>
        <w:t>公司</w:t>
      </w:r>
      <w:r>
        <w:rPr>
          <w:color w:val="000000"/>
          <w:kern w:val="0"/>
          <w:sz w:val="24"/>
          <w:lang w:bidi="ar"/>
        </w:rPr>
        <w:t>承诺，在本承诺函出具日后至公司本次发行股票实施完毕前，若中国证监会、深圳证券交易所另行发布摊薄即期填补回报措施及其承诺的相关意见及实施细则，且</w:t>
      </w:r>
      <w:r>
        <w:rPr>
          <w:rFonts w:hint="eastAsia"/>
          <w:color w:val="000000"/>
          <w:kern w:val="0"/>
          <w:sz w:val="24"/>
          <w:lang w:bidi="ar"/>
        </w:rPr>
        <w:t>公司</w:t>
      </w:r>
      <w:r>
        <w:rPr>
          <w:color w:val="000000"/>
          <w:kern w:val="0"/>
          <w:sz w:val="24"/>
          <w:lang w:bidi="ar"/>
        </w:rPr>
        <w:t>已作出的承诺无法满足证券监管部门该等新规定时，</w:t>
      </w:r>
      <w:r>
        <w:rPr>
          <w:rFonts w:hint="eastAsia"/>
          <w:color w:val="000000"/>
          <w:kern w:val="0"/>
          <w:sz w:val="24"/>
          <w:lang w:bidi="ar"/>
        </w:rPr>
        <w:t>公司</w:t>
      </w:r>
      <w:r>
        <w:rPr>
          <w:color w:val="000000"/>
          <w:kern w:val="0"/>
          <w:sz w:val="24"/>
          <w:lang w:bidi="ar"/>
        </w:rPr>
        <w:t>承诺届时将按照中国</w:t>
      </w:r>
      <w:r>
        <w:rPr>
          <w:color w:val="000000"/>
          <w:kern w:val="0"/>
          <w:sz w:val="24"/>
          <w:lang w:bidi="ar"/>
        </w:rPr>
        <w:t>证监会及深圳证券交易所的规定出具补充承诺；</w:t>
      </w:r>
    </w:p>
    <w:p w:rsidR="00A610B2" w:rsidRDefault="00A95B27">
      <w:pPr>
        <w:spacing w:line="520" w:lineRule="atLeast"/>
        <w:ind w:firstLineChars="200" w:firstLine="480"/>
        <w:rPr>
          <w:color w:val="000000"/>
          <w:kern w:val="0"/>
          <w:sz w:val="24"/>
          <w:lang w:bidi="ar"/>
        </w:rPr>
      </w:pPr>
      <w:r>
        <w:rPr>
          <w:color w:val="000000"/>
          <w:kern w:val="0"/>
          <w:sz w:val="24"/>
          <w:lang w:bidi="ar"/>
        </w:rPr>
        <w:lastRenderedPageBreak/>
        <w:t>3</w:t>
      </w:r>
      <w:r>
        <w:rPr>
          <w:color w:val="000000"/>
          <w:kern w:val="0"/>
          <w:sz w:val="24"/>
          <w:lang w:bidi="ar"/>
        </w:rPr>
        <w:t>、</w:t>
      </w:r>
      <w:r>
        <w:rPr>
          <w:rFonts w:hint="eastAsia"/>
          <w:color w:val="000000"/>
          <w:kern w:val="0"/>
          <w:sz w:val="24"/>
          <w:lang w:bidi="ar"/>
        </w:rPr>
        <w:t>公司</w:t>
      </w:r>
      <w:r>
        <w:rPr>
          <w:color w:val="000000"/>
          <w:kern w:val="0"/>
          <w:sz w:val="24"/>
          <w:lang w:bidi="ar"/>
        </w:rPr>
        <w:t>承诺切实履行公司制定的有关填补回报措施以及</w:t>
      </w:r>
      <w:r>
        <w:rPr>
          <w:rFonts w:hint="eastAsia"/>
          <w:color w:val="000000"/>
          <w:kern w:val="0"/>
          <w:sz w:val="24"/>
          <w:lang w:bidi="ar"/>
        </w:rPr>
        <w:t>公司</w:t>
      </w:r>
      <w:r>
        <w:rPr>
          <w:color w:val="000000"/>
          <w:kern w:val="0"/>
          <w:sz w:val="24"/>
          <w:lang w:bidi="ar"/>
        </w:rPr>
        <w:t>对此作出的任何有关填补回报措施的承诺，若</w:t>
      </w:r>
      <w:r>
        <w:rPr>
          <w:rFonts w:hint="eastAsia"/>
          <w:color w:val="000000"/>
          <w:kern w:val="0"/>
          <w:sz w:val="24"/>
          <w:lang w:bidi="ar"/>
        </w:rPr>
        <w:t>公司</w:t>
      </w:r>
      <w:r>
        <w:rPr>
          <w:color w:val="000000"/>
          <w:kern w:val="0"/>
          <w:sz w:val="24"/>
          <w:lang w:bidi="ar"/>
        </w:rPr>
        <w:t>违反前述承诺或拒不履行前述承诺并给公司或股东造成损失的，</w:t>
      </w:r>
      <w:r>
        <w:rPr>
          <w:rFonts w:hint="eastAsia"/>
          <w:color w:val="000000"/>
          <w:kern w:val="0"/>
          <w:sz w:val="24"/>
          <w:lang w:bidi="ar"/>
        </w:rPr>
        <w:t>公司</w:t>
      </w:r>
      <w:r>
        <w:rPr>
          <w:color w:val="000000"/>
          <w:kern w:val="0"/>
          <w:sz w:val="24"/>
          <w:lang w:bidi="ar"/>
        </w:rPr>
        <w:t>将依法承担相应的补偿责任。</w:t>
      </w:r>
    </w:p>
    <w:p w:rsidR="00A610B2" w:rsidRDefault="00A95B27">
      <w:pPr>
        <w:spacing w:line="360" w:lineRule="auto"/>
        <w:ind w:firstLineChars="200" w:firstLine="480"/>
        <w:rPr>
          <w:color w:val="000000"/>
          <w:kern w:val="0"/>
          <w:sz w:val="24"/>
          <w:lang w:bidi="ar"/>
        </w:rPr>
      </w:pPr>
      <w:r>
        <w:rPr>
          <w:rFonts w:hint="eastAsia"/>
          <w:color w:val="000000"/>
          <w:kern w:val="0"/>
          <w:sz w:val="24"/>
          <w:lang w:bidi="ar"/>
        </w:rPr>
        <w:t>作为填补即期回报措施相关责任主体之一，若违反上述承诺或拒不履行上述承诺，本单位同意，中国证监会、深圳证券交易所等证券监管机构按照其制定或发布的有关规定、规则，对本单位做出相关处罚或采取相关监管措施。”</w:t>
      </w:r>
    </w:p>
    <w:p w:rsidR="00A610B2" w:rsidRDefault="00A95B27">
      <w:pPr>
        <w:spacing w:line="360" w:lineRule="auto"/>
        <w:ind w:firstLineChars="200" w:firstLine="482"/>
        <w:rPr>
          <w:b/>
          <w:color w:val="000000"/>
          <w:kern w:val="0"/>
          <w:sz w:val="24"/>
          <w:lang w:bidi="ar"/>
        </w:rPr>
      </w:pPr>
      <w:bookmarkStart w:id="8" w:name="_Toc146198239"/>
      <w:r>
        <w:rPr>
          <w:b/>
          <w:color w:val="000000"/>
          <w:kern w:val="0"/>
          <w:sz w:val="24"/>
          <w:lang w:bidi="ar"/>
        </w:rPr>
        <w:t>七、关于本次发行摊薄即期回报的填补措施及承诺事项的审议程序</w:t>
      </w:r>
      <w:bookmarkEnd w:id="8"/>
    </w:p>
    <w:p w:rsidR="00A610B2" w:rsidRDefault="00A95B27">
      <w:pPr>
        <w:spacing w:line="360" w:lineRule="auto"/>
        <w:ind w:firstLineChars="200" w:firstLine="480"/>
        <w:rPr>
          <w:sz w:val="24"/>
          <w:szCs w:val="22"/>
        </w:rPr>
      </w:pPr>
      <w:r>
        <w:rPr>
          <w:color w:val="000000"/>
          <w:kern w:val="0"/>
          <w:sz w:val="24"/>
          <w:lang w:bidi="ar"/>
        </w:rPr>
        <w:t>公司对本次发行摊薄即</w:t>
      </w:r>
      <w:r>
        <w:rPr>
          <w:color w:val="000000"/>
          <w:kern w:val="0"/>
          <w:sz w:val="24"/>
          <w:lang w:bidi="ar"/>
        </w:rPr>
        <w:t>期回报对公司主要财务指标的影响分析、填补即期</w:t>
      </w:r>
      <w:r>
        <w:rPr>
          <w:sz w:val="24"/>
          <w:szCs w:val="22"/>
        </w:rPr>
        <w:t>回报措施及相关承诺主体的承诺等事项已经公司第八届董事会第十次（临时）会议审议通过，</w:t>
      </w:r>
      <w:r>
        <w:rPr>
          <w:rFonts w:hint="eastAsia"/>
          <w:sz w:val="24"/>
          <w:szCs w:val="22"/>
        </w:rPr>
        <w:t>尚需提交公司股东大会审议通过</w:t>
      </w:r>
      <w:r>
        <w:rPr>
          <w:sz w:val="24"/>
          <w:szCs w:val="22"/>
        </w:rPr>
        <w:t>。公司将在定期报告中持续披露</w:t>
      </w:r>
      <w:r>
        <w:rPr>
          <w:rFonts w:hint="eastAsia"/>
          <w:sz w:val="24"/>
          <w:szCs w:val="22"/>
        </w:rPr>
        <w:t>本次发行摊薄即期回报的</w:t>
      </w:r>
      <w:r>
        <w:rPr>
          <w:sz w:val="24"/>
          <w:szCs w:val="22"/>
        </w:rPr>
        <w:t>填补</w:t>
      </w:r>
      <w:r>
        <w:rPr>
          <w:sz w:val="24"/>
          <w:szCs w:val="22"/>
        </w:rPr>
        <w:t>措施的完成情况及相关承诺主体承诺事项的履行情况。</w:t>
      </w:r>
    </w:p>
    <w:p w:rsidR="00A610B2" w:rsidRDefault="00A610B2">
      <w:pPr>
        <w:spacing w:line="360" w:lineRule="auto"/>
        <w:rPr>
          <w:rFonts w:ascii="宋体" w:hAnsi="宋体" w:cs="宋体"/>
          <w:color w:val="000000"/>
          <w:kern w:val="0"/>
          <w:sz w:val="24"/>
          <w:lang w:bidi="ar"/>
        </w:rPr>
      </w:pPr>
    </w:p>
    <w:p w:rsidR="00A610B2" w:rsidRDefault="00A95B27">
      <w:pPr>
        <w:spacing w:line="360" w:lineRule="auto"/>
        <w:ind w:firstLineChars="200" w:firstLine="480"/>
        <w:rPr>
          <w:rFonts w:ascii="宋体" w:hAnsi="宋体" w:cs="宋体"/>
          <w:sz w:val="24"/>
        </w:rPr>
      </w:pPr>
      <w:r>
        <w:rPr>
          <w:rFonts w:ascii="宋体" w:hAnsi="宋体" w:cs="宋体" w:hint="eastAsia"/>
          <w:sz w:val="24"/>
        </w:rPr>
        <w:t>特此公告。</w:t>
      </w:r>
    </w:p>
    <w:p w:rsidR="00A610B2" w:rsidRDefault="00A610B2">
      <w:pPr>
        <w:spacing w:line="360" w:lineRule="auto"/>
        <w:ind w:firstLineChars="2150" w:firstLine="5160"/>
        <w:rPr>
          <w:rFonts w:ascii="宋体" w:hAnsi="宋体" w:cs="宋体"/>
          <w:sz w:val="24"/>
        </w:rPr>
      </w:pPr>
    </w:p>
    <w:p w:rsidR="00A610B2" w:rsidRDefault="00A610B2">
      <w:pPr>
        <w:spacing w:line="360" w:lineRule="auto"/>
        <w:ind w:firstLineChars="2150" w:firstLine="5160"/>
        <w:rPr>
          <w:rFonts w:ascii="宋体" w:hAnsi="宋体" w:cs="宋体"/>
          <w:sz w:val="24"/>
        </w:rPr>
      </w:pPr>
    </w:p>
    <w:p w:rsidR="00A610B2" w:rsidRDefault="00A610B2">
      <w:pPr>
        <w:spacing w:line="360" w:lineRule="auto"/>
        <w:ind w:firstLineChars="2150" w:firstLine="5160"/>
        <w:rPr>
          <w:rFonts w:ascii="宋体" w:hAnsi="宋体" w:cs="宋体"/>
          <w:sz w:val="24"/>
        </w:rPr>
      </w:pPr>
    </w:p>
    <w:p w:rsidR="00A610B2" w:rsidRDefault="00A95B27">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rsidR="00A610B2" w:rsidRDefault="00A95B27">
      <w:pPr>
        <w:spacing w:line="360" w:lineRule="auto"/>
        <w:ind w:right="480" w:firstLineChars="200" w:firstLine="480"/>
        <w:jc w:val="right"/>
      </w:pPr>
      <w:r>
        <w:rPr>
          <w:sz w:val="24"/>
        </w:rPr>
        <w:t>2024</w:t>
      </w:r>
      <w:r>
        <w:rPr>
          <w:sz w:val="24"/>
        </w:rPr>
        <w:t>年</w:t>
      </w:r>
      <w:r>
        <w:rPr>
          <w:sz w:val="24"/>
        </w:rPr>
        <w:t>1</w:t>
      </w:r>
      <w:r>
        <w:rPr>
          <w:sz w:val="24"/>
        </w:rPr>
        <w:t>月</w:t>
      </w:r>
      <w:r>
        <w:rPr>
          <w:sz w:val="24"/>
        </w:rPr>
        <w:t>12</w:t>
      </w:r>
      <w:r>
        <w:rPr>
          <w:rFonts w:ascii="宋体" w:hAnsi="宋体" w:cs="宋体" w:hint="eastAsia"/>
          <w:sz w:val="24"/>
        </w:rPr>
        <w:t>日</w:t>
      </w:r>
    </w:p>
    <w:sectPr w:rsidR="00A610B2">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B27" w:rsidRDefault="00A95B27">
      <w:r>
        <w:separator/>
      </w:r>
    </w:p>
  </w:endnote>
  <w:endnote w:type="continuationSeparator" w:id="0">
    <w:p w:rsidR="00A95B27" w:rsidRDefault="00A95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0B2" w:rsidRDefault="00A95B27">
    <w:pPr>
      <w:pStyle w:val="a6"/>
      <w:framePr w:wrap="around" w:vAnchor="text" w:hAnchor="margin" w:xAlign="center" w:y="1"/>
      <w:rPr>
        <w:rStyle w:val="a8"/>
      </w:rPr>
    </w:pPr>
    <w:r>
      <w:fldChar w:fldCharType="begin"/>
    </w:r>
    <w:r>
      <w:rPr>
        <w:rStyle w:val="a8"/>
      </w:rPr>
      <w:instrText xml:space="preserve">PAGE  </w:instrText>
    </w:r>
    <w:r>
      <w:fldChar w:fldCharType="end"/>
    </w:r>
  </w:p>
  <w:p w:rsidR="00A610B2" w:rsidRDefault="00A610B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B27" w:rsidRDefault="00A95B27">
      <w:r>
        <w:separator/>
      </w:r>
    </w:p>
  </w:footnote>
  <w:footnote w:type="continuationSeparator" w:id="0">
    <w:p w:rsidR="00A95B27" w:rsidRDefault="00A95B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hiNDEyZjQ0NzE1YzkxZWI3MzVmMmQ1MTNlMTRlNTQifQ=="/>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A96"/>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466"/>
    <w:rsid w:val="0005772E"/>
    <w:rsid w:val="00060238"/>
    <w:rsid w:val="00062477"/>
    <w:rsid w:val="00062EB9"/>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77D"/>
    <w:rsid w:val="00094894"/>
    <w:rsid w:val="00094CE6"/>
    <w:rsid w:val="00097ED6"/>
    <w:rsid w:val="000A0E43"/>
    <w:rsid w:val="000A1238"/>
    <w:rsid w:val="000A3DE6"/>
    <w:rsid w:val="000A45B4"/>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5300"/>
    <w:rsid w:val="000F65AD"/>
    <w:rsid w:val="001038A3"/>
    <w:rsid w:val="0010469D"/>
    <w:rsid w:val="00104DAA"/>
    <w:rsid w:val="001078C2"/>
    <w:rsid w:val="00107E88"/>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626"/>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23B1"/>
    <w:rsid w:val="00215163"/>
    <w:rsid w:val="00215D81"/>
    <w:rsid w:val="0022711A"/>
    <w:rsid w:val="00227F21"/>
    <w:rsid w:val="00231471"/>
    <w:rsid w:val="00231596"/>
    <w:rsid w:val="0023359D"/>
    <w:rsid w:val="00233A89"/>
    <w:rsid w:val="00233E85"/>
    <w:rsid w:val="00235062"/>
    <w:rsid w:val="002366DF"/>
    <w:rsid w:val="002411F4"/>
    <w:rsid w:val="00241A00"/>
    <w:rsid w:val="00243912"/>
    <w:rsid w:val="00243AFD"/>
    <w:rsid w:val="002444C1"/>
    <w:rsid w:val="002475A4"/>
    <w:rsid w:val="00254009"/>
    <w:rsid w:val="002544B9"/>
    <w:rsid w:val="00256ED9"/>
    <w:rsid w:val="0026090B"/>
    <w:rsid w:val="00263597"/>
    <w:rsid w:val="00265776"/>
    <w:rsid w:val="00267BBA"/>
    <w:rsid w:val="002725A3"/>
    <w:rsid w:val="00272C3A"/>
    <w:rsid w:val="00274683"/>
    <w:rsid w:val="00274BB1"/>
    <w:rsid w:val="00274E36"/>
    <w:rsid w:val="002757E6"/>
    <w:rsid w:val="00276CF8"/>
    <w:rsid w:val="0028431F"/>
    <w:rsid w:val="0028456F"/>
    <w:rsid w:val="002866D1"/>
    <w:rsid w:val="00286F9B"/>
    <w:rsid w:val="00291EDA"/>
    <w:rsid w:val="0029267E"/>
    <w:rsid w:val="002932BB"/>
    <w:rsid w:val="00293B9B"/>
    <w:rsid w:val="0029500E"/>
    <w:rsid w:val="00297EC7"/>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2837"/>
    <w:rsid w:val="002C6D52"/>
    <w:rsid w:val="002C7B26"/>
    <w:rsid w:val="002D06CA"/>
    <w:rsid w:val="002D08BD"/>
    <w:rsid w:val="002D3039"/>
    <w:rsid w:val="002D4F86"/>
    <w:rsid w:val="002D660E"/>
    <w:rsid w:val="002D7381"/>
    <w:rsid w:val="002E249C"/>
    <w:rsid w:val="002E2EB5"/>
    <w:rsid w:val="002F0860"/>
    <w:rsid w:val="002F13BA"/>
    <w:rsid w:val="002F5D67"/>
    <w:rsid w:val="002F5F16"/>
    <w:rsid w:val="002F658C"/>
    <w:rsid w:val="002F6C2E"/>
    <w:rsid w:val="002F72AD"/>
    <w:rsid w:val="003005E7"/>
    <w:rsid w:val="00302D64"/>
    <w:rsid w:val="00302E75"/>
    <w:rsid w:val="00307AF6"/>
    <w:rsid w:val="0031151C"/>
    <w:rsid w:val="003137ED"/>
    <w:rsid w:val="00313852"/>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3F9"/>
    <w:rsid w:val="00377F6C"/>
    <w:rsid w:val="00386020"/>
    <w:rsid w:val="00393107"/>
    <w:rsid w:val="0039357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EAC"/>
    <w:rsid w:val="004202AD"/>
    <w:rsid w:val="00420C20"/>
    <w:rsid w:val="004230BF"/>
    <w:rsid w:val="004269B8"/>
    <w:rsid w:val="00426D9B"/>
    <w:rsid w:val="0043048A"/>
    <w:rsid w:val="00433B3C"/>
    <w:rsid w:val="00436CF1"/>
    <w:rsid w:val="004420E9"/>
    <w:rsid w:val="00446F30"/>
    <w:rsid w:val="00452676"/>
    <w:rsid w:val="00453794"/>
    <w:rsid w:val="00454FCE"/>
    <w:rsid w:val="00455D4C"/>
    <w:rsid w:val="0046032F"/>
    <w:rsid w:val="004658A3"/>
    <w:rsid w:val="004717F9"/>
    <w:rsid w:val="00471DC5"/>
    <w:rsid w:val="004738EE"/>
    <w:rsid w:val="004743A9"/>
    <w:rsid w:val="004777A7"/>
    <w:rsid w:val="00480606"/>
    <w:rsid w:val="00491C2B"/>
    <w:rsid w:val="0049724A"/>
    <w:rsid w:val="00497E5E"/>
    <w:rsid w:val="004A22DC"/>
    <w:rsid w:val="004A2DC1"/>
    <w:rsid w:val="004A2FCF"/>
    <w:rsid w:val="004A3CAB"/>
    <w:rsid w:val="004A4E9A"/>
    <w:rsid w:val="004A65C3"/>
    <w:rsid w:val="004A6D69"/>
    <w:rsid w:val="004A71E4"/>
    <w:rsid w:val="004B23EF"/>
    <w:rsid w:val="004B281B"/>
    <w:rsid w:val="004B3254"/>
    <w:rsid w:val="004B371F"/>
    <w:rsid w:val="004B680B"/>
    <w:rsid w:val="004B7582"/>
    <w:rsid w:val="004C7003"/>
    <w:rsid w:val="004D0D50"/>
    <w:rsid w:val="004D7905"/>
    <w:rsid w:val="004E3506"/>
    <w:rsid w:val="004E66A4"/>
    <w:rsid w:val="004F0657"/>
    <w:rsid w:val="004F2773"/>
    <w:rsid w:val="004F2B90"/>
    <w:rsid w:val="004F3624"/>
    <w:rsid w:val="005007A7"/>
    <w:rsid w:val="00502264"/>
    <w:rsid w:val="00503873"/>
    <w:rsid w:val="0050435D"/>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4786"/>
    <w:rsid w:val="00575FFB"/>
    <w:rsid w:val="0057710E"/>
    <w:rsid w:val="00577F8B"/>
    <w:rsid w:val="00580861"/>
    <w:rsid w:val="005813E3"/>
    <w:rsid w:val="00581E12"/>
    <w:rsid w:val="005829BC"/>
    <w:rsid w:val="005847BD"/>
    <w:rsid w:val="005902B3"/>
    <w:rsid w:val="00594AA3"/>
    <w:rsid w:val="00597F65"/>
    <w:rsid w:val="005A1E8F"/>
    <w:rsid w:val="005A3340"/>
    <w:rsid w:val="005A6913"/>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F0FA2"/>
    <w:rsid w:val="005F360B"/>
    <w:rsid w:val="0060416E"/>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6CF3"/>
    <w:rsid w:val="00680509"/>
    <w:rsid w:val="00682213"/>
    <w:rsid w:val="006869D6"/>
    <w:rsid w:val="006872B4"/>
    <w:rsid w:val="0069264C"/>
    <w:rsid w:val="0069692C"/>
    <w:rsid w:val="006A0B54"/>
    <w:rsid w:val="006A16E5"/>
    <w:rsid w:val="006A2AC1"/>
    <w:rsid w:val="006A37EC"/>
    <w:rsid w:val="006B11BC"/>
    <w:rsid w:val="006B19F6"/>
    <w:rsid w:val="006B232F"/>
    <w:rsid w:val="006B3E64"/>
    <w:rsid w:val="006B5215"/>
    <w:rsid w:val="006B5FC1"/>
    <w:rsid w:val="006C065B"/>
    <w:rsid w:val="006C18CA"/>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80C25"/>
    <w:rsid w:val="00782507"/>
    <w:rsid w:val="007901A9"/>
    <w:rsid w:val="0079155B"/>
    <w:rsid w:val="00791B20"/>
    <w:rsid w:val="00792A64"/>
    <w:rsid w:val="007947CA"/>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051D"/>
    <w:rsid w:val="00893E6A"/>
    <w:rsid w:val="0089466C"/>
    <w:rsid w:val="00894C72"/>
    <w:rsid w:val="00895FE0"/>
    <w:rsid w:val="0089631C"/>
    <w:rsid w:val="00896D20"/>
    <w:rsid w:val="008971B2"/>
    <w:rsid w:val="008A1952"/>
    <w:rsid w:val="008A2521"/>
    <w:rsid w:val="008A382D"/>
    <w:rsid w:val="008A5DF2"/>
    <w:rsid w:val="008A5F4D"/>
    <w:rsid w:val="008A611F"/>
    <w:rsid w:val="008B3E0F"/>
    <w:rsid w:val="008B4081"/>
    <w:rsid w:val="008B5F16"/>
    <w:rsid w:val="008B665B"/>
    <w:rsid w:val="008B6AC9"/>
    <w:rsid w:val="008C0340"/>
    <w:rsid w:val="008C0A89"/>
    <w:rsid w:val="008C25FD"/>
    <w:rsid w:val="008C2651"/>
    <w:rsid w:val="008C2747"/>
    <w:rsid w:val="008C2CD0"/>
    <w:rsid w:val="008C3A2B"/>
    <w:rsid w:val="008C3D29"/>
    <w:rsid w:val="008D200E"/>
    <w:rsid w:val="008D27C7"/>
    <w:rsid w:val="008D50E8"/>
    <w:rsid w:val="008D779C"/>
    <w:rsid w:val="008E196E"/>
    <w:rsid w:val="008E199C"/>
    <w:rsid w:val="008E2276"/>
    <w:rsid w:val="008E4E64"/>
    <w:rsid w:val="008F19DE"/>
    <w:rsid w:val="008F3FC7"/>
    <w:rsid w:val="008F6A53"/>
    <w:rsid w:val="00900C83"/>
    <w:rsid w:val="00901DD7"/>
    <w:rsid w:val="00905CF5"/>
    <w:rsid w:val="00906B25"/>
    <w:rsid w:val="00907BDE"/>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0AD"/>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4735D"/>
    <w:rsid w:val="00A51C3A"/>
    <w:rsid w:val="00A53F08"/>
    <w:rsid w:val="00A610B2"/>
    <w:rsid w:val="00A617F6"/>
    <w:rsid w:val="00A61FA1"/>
    <w:rsid w:val="00A6451F"/>
    <w:rsid w:val="00A67D92"/>
    <w:rsid w:val="00A75CE1"/>
    <w:rsid w:val="00A76303"/>
    <w:rsid w:val="00A76375"/>
    <w:rsid w:val="00A8269C"/>
    <w:rsid w:val="00A86766"/>
    <w:rsid w:val="00A90A5D"/>
    <w:rsid w:val="00A91C90"/>
    <w:rsid w:val="00A95B27"/>
    <w:rsid w:val="00AA0D8C"/>
    <w:rsid w:val="00AA29B5"/>
    <w:rsid w:val="00AA3136"/>
    <w:rsid w:val="00AA441E"/>
    <w:rsid w:val="00AA52D8"/>
    <w:rsid w:val="00AA5760"/>
    <w:rsid w:val="00AA7697"/>
    <w:rsid w:val="00AB60BA"/>
    <w:rsid w:val="00AB6735"/>
    <w:rsid w:val="00AB708B"/>
    <w:rsid w:val="00AB7913"/>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439B"/>
    <w:rsid w:val="00B152EC"/>
    <w:rsid w:val="00B17B8B"/>
    <w:rsid w:val="00B23E81"/>
    <w:rsid w:val="00B24820"/>
    <w:rsid w:val="00B25AB9"/>
    <w:rsid w:val="00B25E8C"/>
    <w:rsid w:val="00B26295"/>
    <w:rsid w:val="00B2722A"/>
    <w:rsid w:val="00B303D2"/>
    <w:rsid w:val="00B30EDA"/>
    <w:rsid w:val="00B360EB"/>
    <w:rsid w:val="00B363C5"/>
    <w:rsid w:val="00B37A86"/>
    <w:rsid w:val="00B43D09"/>
    <w:rsid w:val="00B44A76"/>
    <w:rsid w:val="00B465FF"/>
    <w:rsid w:val="00B47470"/>
    <w:rsid w:val="00B51AFA"/>
    <w:rsid w:val="00B51C0F"/>
    <w:rsid w:val="00B53AB5"/>
    <w:rsid w:val="00B55A5D"/>
    <w:rsid w:val="00B578FE"/>
    <w:rsid w:val="00B6175B"/>
    <w:rsid w:val="00B63ED2"/>
    <w:rsid w:val="00B678DB"/>
    <w:rsid w:val="00B67EDC"/>
    <w:rsid w:val="00B70DB3"/>
    <w:rsid w:val="00B73ED4"/>
    <w:rsid w:val="00B74244"/>
    <w:rsid w:val="00B7623A"/>
    <w:rsid w:val="00B76CB6"/>
    <w:rsid w:val="00B8004B"/>
    <w:rsid w:val="00B806B7"/>
    <w:rsid w:val="00B812F5"/>
    <w:rsid w:val="00B846A0"/>
    <w:rsid w:val="00B84B52"/>
    <w:rsid w:val="00B869F9"/>
    <w:rsid w:val="00B91A07"/>
    <w:rsid w:val="00B929CE"/>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37CE"/>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299C"/>
    <w:rsid w:val="00C94CBF"/>
    <w:rsid w:val="00C95ED6"/>
    <w:rsid w:val="00C97B3A"/>
    <w:rsid w:val="00CA1DD1"/>
    <w:rsid w:val="00CA2853"/>
    <w:rsid w:val="00CA360E"/>
    <w:rsid w:val="00CA4D68"/>
    <w:rsid w:val="00CA558D"/>
    <w:rsid w:val="00CA5855"/>
    <w:rsid w:val="00CB03FF"/>
    <w:rsid w:val="00CB41D3"/>
    <w:rsid w:val="00CB41F6"/>
    <w:rsid w:val="00CB7155"/>
    <w:rsid w:val="00CC196F"/>
    <w:rsid w:val="00CC2B1E"/>
    <w:rsid w:val="00CC482B"/>
    <w:rsid w:val="00CC4FB9"/>
    <w:rsid w:val="00CC6DF3"/>
    <w:rsid w:val="00CD153B"/>
    <w:rsid w:val="00CD5752"/>
    <w:rsid w:val="00CE1B26"/>
    <w:rsid w:val="00CE1D9A"/>
    <w:rsid w:val="00CE5F96"/>
    <w:rsid w:val="00CF18F8"/>
    <w:rsid w:val="00CF4109"/>
    <w:rsid w:val="00CF4978"/>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192E"/>
    <w:rsid w:val="00DF21C0"/>
    <w:rsid w:val="00DF2972"/>
    <w:rsid w:val="00DF45C5"/>
    <w:rsid w:val="00DF6AC5"/>
    <w:rsid w:val="00DF74E5"/>
    <w:rsid w:val="00E00027"/>
    <w:rsid w:val="00E03F47"/>
    <w:rsid w:val="00E04654"/>
    <w:rsid w:val="00E056EE"/>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A24"/>
    <w:rsid w:val="00EC240B"/>
    <w:rsid w:val="00EC2E6D"/>
    <w:rsid w:val="00EC690D"/>
    <w:rsid w:val="00EC697B"/>
    <w:rsid w:val="00EC700D"/>
    <w:rsid w:val="00EC7660"/>
    <w:rsid w:val="00ED0541"/>
    <w:rsid w:val="00ED0DB7"/>
    <w:rsid w:val="00ED1461"/>
    <w:rsid w:val="00ED1964"/>
    <w:rsid w:val="00ED24AD"/>
    <w:rsid w:val="00ED26D6"/>
    <w:rsid w:val="00ED4EEF"/>
    <w:rsid w:val="00ED5207"/>
    <w:rsid w:val="00ED61F6"/>
    <w:rsid w:val="00EE0ED5"/>
    <w:rsid w:val="00EE21DB"/>
    <w:rsid w:val="00EE2B81"/>
    <w:rsid w:val="00EE5073"/>
    <w:rsid w:val="00EE61D9"/>
    <w:rsid w:val="00EE654D"/>
    <w:rsid w:val="00EE682C"/>
    <w:rsid w:val="00EE6957"/>
    <w:rsid w:val="00EF1A34"/>
    <w:rsid w:val="00EF24A4"/>
    <w:rsid w:val="00EF2BD7"/>
    <w:rsid w:val="00EF2C4B"/>
    <w:rsid w:val="00EF3164"/>
    <w:rsid w:val="00EF4C8C"/>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DE7"/>
    <w:rsid w:val="00F5727F"/>
    <w:rsid w:val="00F62293"/>
    <w:rsid w:val="00F64A02"/>
    <w:rsid w:val="00F72074"/>
    <w:rsid w:val="00F73EBE"/>
    <w:rsid w:val="00F751F4"/>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5C45B36"/>
    <w:rsid w:val="0A7563B3"/>
    <w:rsid w:val="0CF609EF"/>
    <w:rsid w:val="12C37A3E"/>
    <w:rsid w:val="14247B58"/>
    <w:rsid w:val="17B948D2"/>
    <w:rsid w:val="1A480816"/>
    <w:rsid w:val="1B4770F4"/>
    <w:rsid w:val="1D30622D"/>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97E0B0A"/>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4C5F21A0-6887-4910-A270-209B66C93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4"/>
    </w:rPr>
  </w:style>
  <w:style w:type="paragraph" w:styleId="1">
    <w:name w:val="heading 1"/>
    <w:basedOn w:val="a"/>
    <w:next w:val="a"/>
    <w:link w:val="1Char"/>
    <w:autoRedefine/>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semiHidden/>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style>
  <w:style w:type="character" w:styleId="a9">
    <w:name w:val="Hyperlink"/>
    <w:rPr>
      <w:color w:val="0563C1"/>
      <w:u w:val="single"/>
    </w:rPr>
  </w:style>
  <w:style w:type="character" w:customStyle="1" w:styleId="Char1">
    <w:name w:val="表格正文 Char"/>
    <w:link w:val="aa"/>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qFormat/>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qFormat/>
    <w:rPr>
      <w:b/>
      <w:bCs/>
      <w:kern w:val="44"/>
      <w:sz w:val="44"/>
      <w:szCs w:val="44"/>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p0">
    <w:name w:val="p0"/>
    <w:basedOn w:val="a"/>
    <w:autoRedefine/>
    <w:qFormat/>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893</Words>
  <Characters>5093</Characters>
  <Application>Microsoft Office Word</Application>
  <DocSecurity>0</DocSecurity>
  <Lines>42</Lines>
  <Paragraphs>11</Paragraphs>
  <ScaleCrop>false</ScaleCrop>
  <Company>微软中国</Company>
  <LinksUpToDate>false</LinksUpToDate>
  <CharactersWithSpaces>5975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21</cp:revision>
  <cp:lastPrinted>2016-03-29T00:48:00Z</cp:lastPrinted>
  <dcterms:created xsi:type="dcterms:W3CDTF">2024-01-11T07:44:00Z</dcterms:created>
  <dcterms:modified xsi:type="dcterms:W3CDTF">2024-01-12T08:28:00Z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138440CEA40644009B46D87258C662B4_13</vt:lpwstr>
  </property>
</Properties>
</file>