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CF8FFA" w14:textId="77777777" w:rsidR="00C12785" w:rsidRPr="000C72DC" w:rsidRDefault="00862767">
      <w:pPr>
        <w:jc w:val="center"/>
        <w:rPr>
          <w:b/>
          <w:bCs/>
          <w:color w:val="000000"/>
          <w:sz w:val="32"/>
          <w:szCs w:val="32"/>
        </w:rPr>
      </w:pPr>
      <w:bookmarkStart w:id="0" w:name="_GoBack"/>
      <w:bookmarkEnd w:id="0"/>
      <w:r w:rsidRPr="000C72DC">
        <w:rPr>
          <w:rFonts w:hint="eastAsia"/>
          <w:b/>
          <w:bCs/>
          <w:color w:val="000000"/>
          <w:sz w:val="32"/>
          <w:szCs w:val="32"/>
        </w:rPr>
        <w:t>渤海水业股份有限公司</w:t>
      </w:r>
    </w:p>
    <w:p w14:paraId="3FD321B8" w14:textId="427FF0C2" w:rsidR="00C12785" w:rsidRPr="000C72DC" w:rsidRDefault="00C6393C">
      <w:pPr>
        <w:jc w:val="center"/>
        <w:rPr>
          <w:b/>
          <w:bCs/>
          <w:color w:val="000000"/>
          <w:sz w:val="32"/>
          <w:szCs w:val="32"/>
        </w:rPr>
      </w:pPr>
      <w:r w:rsidRPr="000C72DC">
        <w:rPr>
          <w:rFonts w:hint="eastAsia"/>
          <w:b/>
          <w:bCs/>
          <w:color w:val="000000"/>
          <w:sz w:val="32"/>
          <w:szCs w:val="32"/>
        </w:rPr>
        <w:t>2023</w:t>
      </w:r>
      <w:r w:rsidR="00862767" w:rsidRPr="000C72DC">
        <w:rPr>
          <w:rFonts w:hint="eastAsia"/>
          <w:b/>
          <w:bCs/>
          <w:color w:val="000000"/>
          <w:sz w:val="32"/>
          <w:szCs w:val="32"/>
        </w:rPr>
        <w:t>年度内部控制评价报告</w:t>
      </w:r>
    </w:p>
    <w:p w14:paraId="21C156A7" w14:textId="143902C7" w:rsidR="00C12785" w:rsidRPr="000C72DC" w:rsidRDefault="00C12785">
      <w:pPr>
        <w:autoSpaceDE w:val="0"/>
        <w:autoSpaceDN w:val="0"/>
        <w:spacing w:line="360" w:lineRule="auto"/>
        <w:textAlignment w:val="baseline"/>
        <w:rPr>
          <w:rFonts w:eastAsia="黑体"/>
          <w:color w:val="000000"/>
          <w:sz w:val="30"/>
          <w:szCs w:val="30"/>
        </w:rPr>
      </w:pPr>
    </w:p>
    <w:p w14:paraId="11261119" w14:textId="37F20546" w:rsidR="00C12785" w:rsidRPr="007F7AE7" w:rsidRDefault="00862767">
      <w:pPr>
        <w:autoSpaceDE w:val="0"/>
        <w:autoSpaceDN w:val="0"/>
        <w:spacing w:line="360" w:lineRule="auto"/>
        <w:textAlignment w:val="baseline"/>
        <w:rPr>
          <w:color w:val="000000"/>
          <w:kern w:val="0"/>
          <w:sz w:val="24"/>
          <w:szCs w:val="24"/>
        </w:rPr>
      </w:pPr>
      <w:r w:rsidRPr="007F7AE7">
        <w:rPr>
          <w:rFonts w:hint="eastAsia"/>
          <w:color w:val="000000"/>
          <w:kern w:val="0"/>
          <w:sz w:val="24"/>
          <w:szCs w:val="24"/>
        </w:rPr>
        <w:t>渤海水业股份有限公司全体股东：</w:t>
      </w:r>
    </w:p>
    <w:p w14:paraId="7C6AAA0B" w14:textId="2C5C38EE" w:rsidR="00C12785" w:rsidRPr="007F7AE7" w:rsidRDefault="00862767">
      <w:pPr>
        <w:autoSpaceDE w:val="0"/>
        <w:autoSpaceDN w:val="0"/>
        <w:spacing w:line="360" w:lineRule="auto"/>
        <w:textAlignment w:val="baseline"/>
        <w:rPr>
          <w:color w:val="000000"/>
          <w:kern w:val="0"/>
          <w:sz w:val="24"/>
          <w:szCs w:val="24"/>
        </w:rPr>
      </w:pPr>
      <w:r w:rsidRPr="007F7AE7">
        <w:rPr>
          <w:rFonts w:hint="eastAsia"/>
          <w:color w:val="000000"/>
          <w:kern w:val="0"/>
          <w:sz w:val="24"/>
          <w:szCs w:val="24"/>
        </w:rPr>
        <w:t xml:space="preserve">    </w:t>
      </w:r>
      <w:r w:rsidRPr="007F7AE7">
        <w:rPr>
          <w:rFonts w:hint="eastAsia"/>
          <w:color w:val="000000"/>
          <w:kern w:val="0"/>
          <w:sz w:val="24"/>
          <w:szCs w:val="24"/>
        </w:rPr>
        <w:t>根据《企业内部控制基本规范》及其配套指引的规定和其他内部控制监管要求（以下简称</w:t>
      </w:r>
      <w:r w:rsidR="007D14F5" w:rsidRPr="007F7AE7">
        <w:rPr>
          <w:rFonts w:hint="eastAsia"/>
          <w:color w:val="000000"/>
          <w:kern w:val="0"/>
          <w:sz w:val="24"/>
          <w:szCs w:val="24"/>
        </w:rPr>
        <w:t>“企业内部控制规范体系”</w:t>
      </w:r>
      <w:r w:rsidRPr="007F7AE7">
        <w:rPr>
          <w:rFonts w:hint="eastAsia"/>
          <w:color w:val="000000"/>
          <w:kern w:val="0"/>
          <w:sz w:val="24"/>
          <w:szCs w:val="24"/>
        </w:rPr>
        <w:t>），结合</w:t>
      </w:r>
      <w:r w:rsidR="00D17757" w:rsidRPr="007F7AE7">
        <w:rPr>
          <w:rFonts w:hint="eastAsia"/>
          <w:color w:val="000000"/>
          <w:kern w:val="0"/>
          <w:sz w:val="24"/>
          <w:szCs w:val="24"/>
        </w:rPr>
        <w:t>渤海水业股份有限公司</w:t>
      </w:r>
      <w:r w:rsidR="007779D3" w:rsidRPr="007F7AE7">
        <w:rPr>
          <w:rFonts w:hint="eastAsia"/>
          <w:color w:val="000000"/>
          <w:kern w:val="0"/>
          <w:sz w:val="24"/>
          <w:szCs w:val="24"/>
        </w:rPr>
        <w:t>（以下简称“公司”、“本公司”）</w:t>
      </w:r>
      <w:r w:rsidRPr="007F7AE7">
        <w:rPr>
          <w:rFonts w:hint="eastAsia"/>
          <w:color w:val="000000"/>
          <w:kern w:val="0"/>
          <w:sz w:val="24"/>
          <w:szCs w:val="24"/>
        </w:rPr>
        <w:t>内部控制制度和评价办法，在内部控制日常监督和专项监督的基础上，我们对公司</w:t>
      </w:r>
      <w:r w:rsidR="00C6393C" w:rsidRPr="007F7AE7">
        <w:rPr>
          <w:rFonts w:hint="eastAsia"/>
          <w:color w:val="000000"/>
          <w:kern w:val="0"/>
          <w:sz w:val="24"/>
          <w:szCs w:val="24"/>
        </w:rPr>
        <w:t>2023</w:t>
      </w:r>
      <w:r w:rsidRPr="007F7AE7">
        <w:rPr>
          <w:rFonts w:hint="eastAsia"/>
          <w:color w:val="000000"/>
          <w:kern w:val="0"/>
          <w:sz w:val="24"/>
          <w:szCs w:val="24"/>
        </w:rPr>
        <w:t>年</w:t>
      </w:r>
      <w:r w:rsidRPr="007F7AE7">
        <w:rPr>
          <w:rFonts w:hint="eastAsia"/>
          <w:color w:val="000000"/>
          <w:kern w:val="0"/>
          <w:sz w:val="24"/>
          <w:szCs w:val="24"/>
        </w:rPr>
        <w:t>12</w:t>
      </w:r>
      <w:r w:rsidRPr="007F7AE7">
        <w:rPr>
          <w:rFonts w:hint="eastAsia"/>
          <w:color w:val="000000"/>
          <w:kern w:val="0"/>
          <w:sz w:val="24"/>
          <w:szCs w:val="24"/>
        </w:rPr>
        <w:t>月</w:t>
      </w:r>
      <w:r w:rsidRPr="007F7AE7">
        <w:rPr>
          <w:rFonts w:hint="eastAsia"/>
          <w:color w:val="000000"/>
          <w:kern w:val="0"/>
          <w:sz w:val="24"/>
          <w:szCs w:val="24"/>
        </w:rPr>
        <w:t>31</w:t>
      </w:r>
      <w:r w:rsidRPr="007F7AE7">
        <w:rPr>
          <w:rFonts w:hint="eastAsia"/>
          <w:color w:val="000000"/>
          <w:kern w:val="0"/>
          <w:sz w:val="24"/>
          <w:szCs w:val="24"/>
        </w:rPr>
        <w:t>日（内部控制评价报告基准日）的内部控制有效性进行了评价。</w:t>
      </w:r>
      <w:r w:rsidRPr="007F7AE7">
        <w:rPr>
          <w:rFonts w:hint="eastAsia"/>
          <w:color w:val="000000"/>
          <w:kern w:val="0"/>
          <w:sz w:val="24"/>
          <w:szCs w:val="24"/>
        </w:rPr>
        <w:t xml:space="preserve"> </w:t>
      </w:r>
    </w:p>
    <w:p w14:paraId="230A7084" w14:textId="298AA64C" w:rsidR="00C12785" w:rsidRPr="007F7AE7" w:rsidRDefault="00862767">
      <w:pPr>
        <w:autoSpaceDE w:val="0"/>
        <w:autoSpaceDN w:val="0"/>
        <w:spacing w:line="360" w:lineRule="auto"/>
        <w:ind w:firstLine="567"/>
        <w:textAlignment w:val="baseline"/>
        <w:rPr>
          <w:b/>
          <w:bCs/>
          <w:color w:val="000000"/>
          <w:kern w:val="0"/>
          <w:sz w:val="24"/>
          <w:szCs w:val="24"/>
        </w:rPr>
      </w:pPr>
      <w:r w:rsidRPr="007F7AE7">
        <w:rPr>
          <w:rFonts w:hint="eastAsia"/>
          <w:b/>
          <w:bCs/>
          <w:color w:val="000000"/>
          <w:kern w:val="0"/>
          <w:sz w:val="24"/>
          <w:szCs w:val="24"/>
        </w:rPr>
        <w:t>一、重要声明</w:t>
      </w:r>
    </w:p>
    <w:p w14:paraId="628B4FFE"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按照企业内部控制规范体系的规定，建立健全和有效实施内部控制，评价其有效性，并如实披露内部控制评价报告是公司董事会的责任。监事会对董事会建立和实施内部控制进行监督。经理</w:t>
      </w:r>
      <w:proofErr w:type="gramStart"/>
      <w:r w:rsidRPr="007F7AE7">
        <w:rPr>
          <w:rFonts w:hint="eastAsia"/>
          <w:color w:val="000000"/>
          <w:kern w:val="0"/>
          <w:sz w:val="24"/>
          <w:szCs w:val="24"/>
        </w:rPr>
        <w:t>层负责</w:t>
      </w:r>
      <w:proofErr w:type="gramEnd"/>
      <w:r w:rsidRPr="007F7AE7">
        <w:rPr>
          <w:rFonts w:hint="eastAsia"/>
          <w:color w:val="000000"/>
          <w:kern w:val="0"/>
          <w:sz w:val="24"/>
          <w:szCs w:val="24"/>
        </w:rPr>
        <w:t>组织领导企业内部控制的日常运行。公司董事会、监事会及董事、监事、高级管理人员保证本报告内容不存在任何虚假记载、误导性陈述或重大遗漏，并对报告内容的真实性、准确性和完整性承担个别及连带法律责任。</w:t>
      </w:r>
    </w:p>
    <w:p w14:paraId="1588AD86"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公司内部控制的目标是合理保证经营管理合法合</w:t>
      </w:r>
      <w:proofErr w:type="gramStart"/>
      <w:r w:rsidRPr="007F7AE7">
        <w:rPr>
          <w:rFonts w:hint="eastAsia"/>
          <w:color w:val="000000"/>
          <w:kern w:val="0"/>
          <w:sz w:val="24"/>
          <w:szCs w:val="24"/>
        </w:rPr>
        <w:t>规</w:t>
      </w:r>
      <w:proofErr w:type="gramEnd"/>
      <w:r w:rsidRPr="007F7AE7">
        <w:rPr>
          <w:rFonts w:hint="eastAsia"/>
          <w:color w:val="000000"/>
          <w:kern w:val="0"/>
          <w:sz w:val="24"/>
          <w:szCs w:val="24"/>
        </w:rPr>
        <w:t>、资产安全、财务报告及相关信息真实完整，提高经营效率和效果，促进实现发展战略。由于内部控制存在的固有局限性，故仅能为实现上述目标提供合理保证。此外，由于情况的变化可能导致内部控制变得不恰当，或对控制政策和程序遵循的程度降低，根据内部控制评价结果推测未来内部控制的有效性具有一定的风险。</w:t>
      </w:r>
    </w:p>
    <w:p w14:paraId="3775B6E3" w14:textId="77777777" w:rsidR="00C12785" w:rsidRPr="007F7AE7" w:rsidRDefault="00862767">
      <w:pPr>
        <w:autoSpaceDE w:val="0"/>
        <w:autoSpaceDN w:val="0"/>
        <w:spacing w:line="360" w:lineRule="auto"/>
        <w:ind w:firstLine="567"/>
        <w:textAlignment w:val="baseline"/>
        <w:rPr>
          <w:b/>
          <w:bCs/>
          <w:color w:val="000000"/>
          <w:kern w:val="0"/>
          <w:sz w:val="24"/>
          <w:szCs w:val="24"/>
        </w:rPr>
      </w:pPr>
      <w:r w:rsidRPr="007F7AE7">
        <w:rPr>
          <w:rFonts w:hint="eastAsia"/>
          <w:b/>
          <w:bCs/>
          <w:color w:val="000000"/>
          <w:kern w:val="0"/>
          <w:sz w:val="24"/>
          <w:szCs w:val="24"/>
        </w:rPr>
        <w:t>二、内部控制评价结论</w:t>
      </w:r>
    </w:p>
    <w:p w14:paraId="39F5E7B3"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1</w:t>
      </w:r>
      <w:r w:rsidRPr="007F7AE7">
        <w:rPr>
          <w:rFonts w:hint="eastAsia"/>
          <w:color w:val="000000"/>
          <w:kern w:val="0"/>
          <w:sz w:val="24"/>
          <w:szCs w:val="24"/>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14:paraId="29C69193" w14:textId="77777777" w:rsidR="00C12785" w:rsidRPr="007F7AE7" w:rsidRDefault="00862767">
      <w:pPr>
        <w:autoSpaceDE w:val="0"/>
        <w:autoSpaceDN w:val="0"/>
        <w:spacing w:line="360" w:lineRule="auto"/>
        <w:ind w:firstLineChars="200" w:firstLine="480"/>
        <w:textAlignment w:val="baseline"/>
        <w:rPr>
          <w:color w:val="000000"/>
          <w:kern w:val="0"/>
          <w:sz w:val="24"/>
          <w:szCs w:val="24"/>
        </w:rPr>
      </w:pPr>
      <w:r w:rsidRPr="007F7AE7">
        <w:rPr>
          <w:rFonts w:hint="eastAsia"/>
          <w:color w:val="000000"/>
          <w:kern w:val="0"/>
          <w:sz w:val="24"/>
          <w:szCs w:val="24"/>
        </w:rPr>
        <w:t>2</w:t>
      </w:r>
      <w:r w:rsidRPr="007F7AE7">
        <w:rPr>
          <w:rFonts w:hint="eastAsia"/>
          <w:color w:val="000000"/>
          <w:kern w:val="0"/>
          <w:sz w:val="24"/>
          <w:szCs w:val="24"/>
        </w:rPr>
        <w:t>、根据公司非财务报告内部控制重大缺陷认定情况，于内部控制评价报告基准日，公司未发现非财务报告内部控制重大缺陷。</w:t>
      </w:r>
    </w:p>
    <w:p w14:paraId="41CB7C2F" w14:textId="77777777" w:rsidR="00C12785" w:rsidRPr="007F7AE7" w:rsidRDefault="00862767">
      <w:pPr>
        <w:autoSpaceDE w:val="0"/>
        <w:autoSpaceDN w:val="0"/>
        <w:spacing w:line="360" w:lineRule="auto"/>
        <w:ind w:firstLineChars="200" w:firstLine="480"/>
        <w:textAlignment w:val="baseline"/>
        <w:rPr>
          <w:color w:val="000000"/>
          <w:kern w:val="0"/>
          <w:sz w:val="24"/>
          <w:szCs w:val="24"/>
        </w:rPr>
      </w:pPr>
      <w:r w:rsidRPr="007F7AE7">
        <w:rPr>
          <w:rFonts w:hint="eastAsia"/>
          <w:color w:val="000000"/>
          <w:kern w:val="0"/>
          <w:sz w:val="24"/>
          <w:szCs w:val="24"/>
        </w:rPr>
        <w:lastRenderedPageBreak/>
        <w:t>3</w:t>
      </w:r>
      <w:r w:rsidRPr="007F7AE7">
        <w:rPr>
          <w:rFonts w:hint="eastAsia"/>
          <w:color w:val="000000"/>
          <w:kern w:val="0"/>
          <w:sz w:val="24"/>
          <w:szCs w:val="24"/>
        </w:rPr>
        <w:t>、</w:t>
      </w:r>
      <w:proofErr w:type="gramStart"/>
      <w:r w:rsidRPr="007F7AE7">
        <w:rPr>
          <w:rFonts w:hint="eastAsia"/>
          <w:color w:val="000000"/>
          <w:kern w:val="0"/>
          <w:sz w:val="24"/>
          <w:szCs w:val="24"/>
        </w:rPr>
        <w:t>自内部</w:t>
      </w:r>
      <w:proofErr w:type="gramEnd"/>
      <w:r w:rsidRPr="007F7AE7">
        <w:rPr>
          <w:rFonts w:hint="eastAsia"/>
          <w:color w:val="000000"/>
          <w:kern w:val="0"/>
          <w:sz w:val="24"/>
          <w:szCs w:val="24"/>
        </w:rPr>
        <w:t>控制评价报告基准日至内部控制评价报告发出日之间未发生影响内部控制有效性评价结论的因素。</w:t>
      </w:r>
    </w:p>
    <w:p w14:paraId="3667F15D" w14:textId="77777777" w:rsidR="00C12785" w:rsidRPr="007F7AE7" w:rsidRDefault="00862767">
      <w:pPr>
        <w:autoSpaceDE w:val="0"/>
        <w:autoSpaceDN w:val="0"/>
        <w:spacing w:line="360" w:lineRule="auto"/>
        <w:ind w:firstLineChars="200" w:firstLine="480"/>
        <w:textAlignment w:val="baseline"/>
        <w:rPr>
          <w:color w:val="000000"/>
          <w:kern w:val="0"/>
          <w:sz w:val="24"/>
          <w:szCs w:val="24"/>
        </w:rPr>
      </w:pPr>
      <w:r w:rsidRPr="007F7AE7">
        <w:rPr>
          <w:rFonts w:hint="eastAsia"/>
          <w:color w:val="000000"/>
          <w:kern w:val="0"/>
          <w:sz w:val="24"/>
          <w:szCs w:val="24"/>
        </w:rPr>
        <w:t>4</w:t>
      </w:r>
      <w:r w:rsidRPr="007F7AE7">
        <w:rPr>
          <w:rFonts w:hint="eastAsia"/>
          <w:color w:val="000000"/>
          <w:kern w:val="0"/>
          <w:sz w:val="24"/>
          <w:szCs w:val="24"/>
        </w:rPr>
        <w:t>、内部控制审计意见与公司对财务报告内部控制有效性的评价结论一致。</w:t>
      </w:r>
    </w:p>
    <w:p w14:paraId="37466704" w14:textId="4A810A40" w:rsidR="00A80D2D" w:rsidRPr="007F7AE7" w:rsidRDefault="00862767" w:rsidP="00A80D2D">
      <w:pPr>
        <w:autoSpaceDE w:val="0"/>
        <w:autoSpaceDN w:val="0"/>
        <w:spacing w:line="360" w:lineRule="auto"/>
        <w:ind w:firstLine="567"/>
        <w:textAlignment w:val="baseline"/>
        <w:rPr>
          <w:b/>
          <w:bCs/>
          <w:color w:val="000000"/>
          <w:kern w:val="0"/>
          <w:sz w:val="24"/>
          <w:szCs w:val="24"/>
        </w:rPr>
      </w:pPr>
      <w:r w:rsidRPr="007F7AE7">
        <w:rPr>
          <w:rFonts w:hint="eastAsia"/>
          <w:b/>
          <w:bCs/>
          <w:color w:val="000000"/>
          <w:kern w:val="0"/>
          <w:sz w:val="24"/>
          <w:szCs w:val="24"/>
        </w:rPr>
        <w:t>三、内部控制评价工作情况</w:t>
      </w:r>
    </w:p>
    <w:p w14:paraId="3089F1F2" w14:textId="77777777" w:rsidR="00C12785" w:rsidRPr="007F7AE7" w:rsidRDefault="00862767">
      <w:pPr>
        <w:autoSpaceDE w:val="0"/>
        <w:autoSpaceDN w:val="0"/>
        <w:spacing w:line="360" w:lineRule="auto"/>
        <w:ind w:firstLine="600"/>
        <w:textAlignment w:val="baseline"/>
        <w:rPr>
          <w:color w:val="000000"/>
          <w:kern w:val="0"/>
          <w:sz w:val="24"/>
          <w:szCs w:val="24"/>
        </w:rPr>
      </w:pPr>
      <w:r w:rsidRPr="007F7AE7">
        <w:rPr>
          <w:rFonts w:hint="eastAsia"/>
          <w:color w:val="000000"/>
          <w:kern w:val="0"/>
          <w:sz w:val="24"/>
          <w:szCs w:val="24"/>
        </w:rPr>
        <w:t>（一）内部控制评价范围</w:t>
      </w:r>
    </w:p>
    <w:p w14:paraId="3713A163" w14:textId="28728485" w:rsidR="00C12785" w:rsidRPr="007F7AE7" w:rsidRDefault="00862767">
      <w:pPr>
        <w:autoSpaceDE w:val="0"/>
        <w:autoSpaceDN w:val="0"/>
        <w:spacing w:line="360" w:lineRule="auto"/>
        <w:ind w:firstLine="615"/>
        <w:textAlignment w:val="baseline"/>
        <w:rPr>
          <w:color w:val="000000"/>
          <w:kern w:val="0"/>
          <w:sz w:val="24"/>
          <w:szCs w:val="24"/>
        </w:rPr>
      </w:pPr>
      <w:r w:rsidRPr="007F7AE7">
        <w:rPr>
          <w:rFonts w:hint="eastAsia"/>
          <w:color w:val="000000"/>
          <w:kern w:val="0"/>
          <w:sz w:val="24"/>
          <w:szCs w:val="24"/>
        </w:rPr>
        <w:t>1</w:t>
      </w:r>
      <w:r w:rsidRPr="007F7AE7">
        <w:rPr>
          <w:rFonts w:hint="eastAsia"/>
          <w:color w:val="000000"/>
          <w:kern w:val="0"/>
          <w:sz w:val="24"/>
          <w:szCs w:val="24"/>
        </w:rPr>
        <w:t>、公司按照风险导向原则确定纳入评价范围的主要单位、业务和事项以及高风险领域。评价的范围涵盖了公司总部</w:t>
      </w:r>
      <w:r w:rsidR="008C743E" w:rsidRPr="007F7AE7">
        <w:rPr>
          <w:rFonts w:hint="eastAsia"/>
          <w:color w:val="000000"/>
          <w:kern w:val="0"/>
          <w:sz w:val="24"/>
          <w:szCs w:val="24"/>
        </w:rPr>
        <w:t>及</w:t>
      </w:r>
      <w:r w:rsidR="002B3D64" w:rsidRPr="007F7AE7">
        <w:rPr>
          <w:rFonts w:hint="eastAsia"/>
          <w:color w:val="000000"/>
          <w:kern w:val="0"/>
          <w:sz w:val="24"/>
          <w:szCs w:val="24"/>
        </w:rPr>
        <w:t>供水、</w:t>
      </w:r>
      <w:r w:rsidR="008C743E" w:rsidRPr="007F7AE7">
        <w:rPr>
          <w:rFonts w:hint="eastAsia"/>
          <w:color w:val="000000"/>
          <w:kern w:val="0"/>
          <w:sz w:val="24"/>
          <w:szCs w:val="24"/>
        </w:rPr>
        <w:t>供热、环境治理等运营板块的</w:t>
      </w:r>
      <w:r w:rsidRPr="007F7AE7">
        <w:rPr>
          <w:rFonts w:hint="eastAsia"/>
          <w:color w:val="000000"/>
          <w:kern w:val="0"/>
          <w:sz w:val="24"/>
          <w:szCs w:val="24"/>
        </w:rPr>
        <w:t>控股子公司。</w:t>
      </w:r>
    </w:p>
    <w:p w14:paraId="07232FF4" w14:textId="3748EE83" w:rsidR="00C12785" w:rsidRPr="007F7AE7" w:rsidRDefault="00862767">
      <w:pPr>
        <w:autoSpaceDE w:val="0"/>
        <w:autoSpaceDN w:val="0"/>
        <w:spacing w:line="360" w:lineRule="auto"/>
        <w:ind w:firstLine="615"/>
        <w:textAlignment w:val="baseline"/>
        <w:rPr>
          <w:color w:val="000000"/>
          <w:kern w:val="0"/>
          <w:sz w:val="24"/>
          <w:szCs w:val="24"/>
        </w:rPr>
      </w:pPr>
      <w:r w:rsidRPr="007F7AE7">
        <w:rPr>
          <w:rFonts w:hint="eastAsia"/>
          <w:color w:val="000000"/>
          <w:kern w:val="0"/>
          <w:sz w:val="24"/>
          <w:szCs w:val="24"/>
        </w:rPr>
        <w:t>2</w:t>
      </w:r>
      <w:r w:rsidRPr="007F7AE7">
        <w:rPr>
          <w:rFonts w:hint="eastAsia"/>
          <w:color w:val="000000"/>
          <w:kern w:val="0"/>
          <w:sz w:val="24"/>
          <w:szCs w:val="24"/>
        </w:rPr>
        <w:t>、纳入评价范围单位资产总额占公司合并财务报表资产总额的</w:t>
      </w:r>
      <w:r w:rsidRPr="007F7AE7">
        <w:rPr>
          <w:color w:val="000000"/>
          <w:kern w:val="0"/>
          <w:sz w:val="24"/>
          <w:szCs w:val="24"/>
        </w:rPr>
        <w:t>100</w:t>
      </w:r>
      <w:r w:rsidRPr="007F7AE7">
        <w:rPr>
          <w:rFonts w:hint="eastAsia"/>
          <w:color w:val="000000"/>
          <w:kern w:val="0"/>
          <w:sz w:val="24"/>
          <w:szCs w:val="24"/>
        </w:rPr>
        <w:t>.</w:t>
      </w:r>
      <w:r w:rsidRPr="007F7AE7">
        <w:rPr>
          <w:color w:val="000000"/>
          <w:kern w:val="0"/>
          <w:sz w:val="24"/>
          <w:szCs w:val="24"/>
        </w:rPr>
        <w:t>00</w:t>
      </w:r>
      <w:r w:rsidRPr="007F7AE7">
        <w:rPr>
          <w:rFonts w:hint="eastAsia"/>
          <w:color w:val="000000"/>
          <w:kern w:val="0"/>
          <w:sz w:val="24"/>
          <w:szCs w:val="24"/>
        </w:rPr>
        <w:t>%</w:t>
      </w:r>
      <w:r w:rsidRPr="007F7AE7">
        <w:rPr>
          <w:rFonts w:hint="eastAsia"/>
          <w:color w:val="000000"/>
          <w:kern w:val="0"/>
          <w:sz w:val="24"/>
          <w:szCs w:val="24"/>
        </w:rPr>
        <w:t>，营业收入合计占公司合并财务报表营业收入总额的</w:t>
      </w:r>
      <w:r w:rsidRPr="007F7AE7">
        <w:rPr>
          <w:color w:val="000000"/>
          <w:kern w:val="0"/>
          <w:sz w:val="24"/>
          <w:szCs w:val="24"/>
        </w:rPr>
        <w:t>100</w:t>
      </w:r>
      <w:r w:rsidRPr="007F7AE7">
        <w:rPr>
          <w:rFonts w:hint="eastAsia"/>
          <w:color w:val="000000"/>
          <w:kern w:val="0"/>
          <w:sz w:val="24"/>
          <w:szCs w:val="24"/>
        </w:rPr>
        <w:t>.</w:t>
      </w:r>
      <w:r w:rsidRPr="007F7AE7">
        <w:rPr>
          <w:color w:val="000000"/>
          <w:kern w:val="0"/>
          <w:sz w:val="24"/>
          <w:szCs w:val="24"/>
        </w:rPr>
        <w:t>00</w:t>
      </w:r>
      <w:r w:rsidRPr="007F7AE7">
        <w:rPr>
          <w:rFonts w:hint="eastAsia"/>
          <w:color w:val="000000"/>
          <w:kern w:val="0"/>
          <w:sz w:val="24"/>
          <w:szCs w:val="24"/>
        </w:rPr>
        <w:t>%</w:t>
      </w:r>
      <w:r w:rsidRPr="007F7AE7">
        <w:rPr>
          <w:rFonts w:hint="eastAsia"/>
          <w:color w:val="000000"/>
          <w:kern w:val="0"/>
          <w:sz w:val="24"/>
          <w:szCs w:val="24"/>
        </w:rPr>
        <w:t>。</w:t>
      </w:r>
    </w:p>
    <w:p w14:paraId="6BF36713" w14:textId="41A43BA3" w:rsidR="00C12785" w:rsidRPr="007F7AE7" w:rsidRDefault="00862767">
      <w:pPr>
        <w:autoSpaceDE w:val="0"/>
        <w:autoSpaceDN w:val="0"/>
        <w:spacing w:line="360" w:lineRule="auto"/>
        <w:ind w:firstLine="615"/>
        <w:textAlignment w:val="baseline"/>
        <w:rPr>
          <w:color w:val="000000"/>
          <w:kern w:val="0"/>
          <w:sz w:val="24"/>
          <w:szCs w:val="24"/>
        </w:rPr>
      </w:pPr>
      <w:r w:rsidRPr="007F7AE7">
        <w:rPr>
          <w:rFonts w:hint="eastAsia"/>
          <w:color w:val="000000"/>
          <w:kern w:val="0"/>
          <w:sz w:val="24"/>
          <w:szCs w:val="24"/>
        </w:rPr>
        <w:t>3</w:t>
      </w:r>
      <w:r w:rsidRPr="007F7AE7">
        <w:rPr>
          <w:rFonts w:hint="eastAsia"/>
          <w:color w:val="000000"/>
          <w:kern w:val="0"/>
          <w:sz w:val="24"/>
          <w:szCs w:val="24"/>
        </w:rPr>
        <w:t>、纳入评价范围的主要业务和事项包括公司组织架构、发展战略、人力资源</w:t>
      </w:r>
      <w:r w:rsidR="00DE2BF4" w:rsidRPr="007F7AE7">
        <w:rPr>
          <w:rFonts w:hint="eastAsia"/>
          <w:color w:val="000000"/>
          <w:kern w:val="0"/>
          <w:sz w:val="24"/>
          <w:szCs w:val="24"/>
        </w:rPr>
        <w:t>管理</w:t>
      </w:r>
      <w:r w:rsidRPr="007F7AE7">
        <w:rPr>
          <w:rFonts w:hint="eastAsia"/>
          <w:color w:val="000000"/>
          <w:kern w:val="0"/>
          <w:sz w:val="24"/>
          <w:szCs w:val="24"/>
        </w:rPr>
        <w:t>、法律事务、信息与沟通、</w:t>
      </w:r>
      <w:r w:rsidR="00260B99" w:rsidRPr="007F7AE7">
        <w:rPr>
          <w:rFonts w:hint="eastAsia"/>
          <w:color w:val="000000"/>
          <w:kern w:val="0"/>
          <w:sz w:val="24"/>
          <w:szCs w:val="24"/>
        </w:rPr>
        <w:t>资金</w:t>
      </w:r>
      <w:r w:rsidRPr="007F7AE7">
        <w:rPr>
          <w:rFonts w:hint="eastAsia"/>
          <w:color w:val="000000"/>
          <w:kern w:val="0"/>
          <w:sz w:val="24"/>
          <w:szCs w:val="24"/>
        </w:rPr>
        <w:t>管理、预算管理、安健环管理、采购与付款管理、</w:t>
      </w:r>
      <w:r w:rsidR="003A1BCB" w:rsidRPr="007F7AE7">
        <w:rPr>
          <w:rFonts w:hint="eastAsia"/>
          <w:color w:val="000000"/>
          <w:kern w:val="0"/>
          <w:sz w:val="24"/>
          <w:szCs w:val="24"/>
        </w:rPr>
        <w:t>固定</w:t>
      </w:r>
      <w:r w:rsidR="0082251B" w:rsidRPr="007F7AE7">
        <w:rPr>
          <w:rFonts w:hint="eastAsia"/>
          <w:color w:val="000000"/>
          <w:kern w:val="0"/>
          <w:sz w:val="24"/>
          <w:szCs w:val="24"/>
        </w:rPr>
        <w:t>资产</w:t>
      </w:r>
      <w:r w:rsidRPr="007F7AE7">
        <w:rPr>
          <w:rFonts w:hint="eastAsia"/>
          <w:color w:val="000000"/>
          <w:kern w:val="0"/>
          <w:sz w:val="24"/>
          <w:szCs w:val="24"/>
        </w:rPr>
        <w:t>管理、</w:t>
      </w:r>
      <w:r w:rsidR="00260B99" w:rsidRPr="007F7AE7">
        <w:rPr>
          <w:rFonts w:hint="eastAsia"/>
          <w:color w:val="000000"/>
          <w:kern w:val="0"/>
          <w:sz w:val="24"/>
          <w:szCs w:val="24"/>
        </w:rPr>
        <w:t>无形资产管理、</w:t>
      </w:r>
      <w:r w:rsidRPr="007F7AE7">
        <w:rPr>
          <w:rFonts w:hint="eastAsia"/>
          <w:color w:val="000000"/>
          <w:kern w:val="0"/>
          <w:sz w:val="24"/>
          <w:szCs w:val="24"/>
        </w:rPr>
        <w:t>业务与收款管理、工程管理、存货管理、财务报告管理、信息系统管理等。</w:t>
      </w:r>
    </w:p>
    <w:p w14:paraId="73C63005" w14:textId="0D05391C" w:rsidR="00C12785" w:rsidRPr="007F7AE7" w:rsidRDefault="00862767">
      <w:pPr>
        <w:autoSpaceDE w:val="0"/>
        <w:autoSpaceDN w:val="0"/>
        <w:spacing w:line="360" w:lineRule="auto"/>
        <w:ind w:firstLine="615"/>
        <w:textAlignment w:val="baseline"/>
        <w:rPr>
          <w:color w:val="000000"/>
          <w:kern w:val="0"/>
          <w:sz w:val="24"/>
          <w:szCs w:val="24"/>
        </w:rPr>
      </w:pPr>
      <w:r w:rsidRPr="007F7AE7">
        <w:rPr>
          <w:rFonts w:hint="eastAsia"/>
          <w:color w:val="000000"/>
          <w:kern w:val="0"/>
          <w:sz w:val="24"/>
          <w:szCs w:val="24"/>
        </w:rPr>
        <w:t>4</w:t>
      </w:r>
      <w:r w:rsidRPr="007F7AE7">
        <w:rPr>
          <w:rFonts w:hint="eastAsia"/>
          <w:color w:val="000000"/>
          <w:kern w:val="0"/>
          <w:sz w:val="24"/>
          <w:szCs w:val="24"/>
        </w:rPr>
        <w:t>、重点关注的高风险领域主要包括：采购与付款管理、业务与收款管理、</w:t>
      </w:r>
      <w:r w:rsidR="007E0FD5" w:rsidRPr="007F7AE7">
        <w:rPr>
          <w:rFonts w:hint="eastAsia"/>
          <w:color w:val="000000"/>
          <w:kern w:val="0"/>
          <w:sz w:val="24"/>
          <w:szCs w:val="24"/>
        </w:rPr>
        <w:t>固定资产管理</w:t>
      </w:r>
      <w:r w:rsidR="0082251B" w:rsidRPr="007F7AE7">
        <w:rPr>
          <w:rFonts w:hint="eastAsia"/>
          <w:color w:val="000000"/>
          <w:kern w:val="0"/>
          <w:sz w:val="24"/>
          <w:szCs w:val="24"/>
        </w:rPr>
        <w:t>、</w:t>
      </w:r>
      <w:r w:rsidRPr="007F7AE7">
        <w:rPr>
          <w:rFonts w:hint="eastAsia"/>
          <w:color w:val="000000"/>
          <w:kern w:val="0"/>
          <w:sz w:val="24"/>
          <w:szCs w:val="24"/>
        </w:rPr>
        <w:t>工程管理、财务报告管理、</w:t>
      </w:r>
      <w:r w:rsidR="00DF14FF" w:rsidRPr="007F7AE7">
        <w:rPr>
          <w:rFonts w:hint="eastAsia"/>
          <w:color w:val="000000"/>
          <w:kern w:val="0"/>
          <w:sz w:val="24"/>
          <w:szCs w:val="24"/>
        </w:rPr>
        <w:t>法律事务</w:t>
      </w:r>
      <w:r w:rsidR="00BF1D12" w:rsidRPr="007F7AE7">
        <w:rPr>
          <w:rFonts w:hint="eastAsia"/>
          <w:color w:val="000000"/>
          <w:kern w:val="0"/>
          <w:sz w:val="24"/>
          <w:szCs w:val="24"/>
        </w:rPr>
        <w:t>、</w:t>
      </w:r>
      <w:r w:rsidRPr="007F7AE7">
        <w:rPr>
          <w:rFonts w:hint="eastAsia"/>
          <w:color w:val="000000"/>
          <w:kern w:val="0"/>
          <w:sz w:val="24"/>
          <w:szCs w:val="24"/>
        </w:rPr>
        <w:t>信息系统管理等。</w:t>
      </w:r>
    </w:p>
    <w:p w14:paraId="152D3438" w14:textId="77777777" w:rsidR="00C12785" w:rsidRPr="007F7AE7" w:rsidRDefault="00862767">
      <w:pPr>
        <w:autoSpaceDE w:val="0"/>
        <w:autoSpaceDN w:val="0"/>
        <w:spacing w:line="360" w:lineRule="auto"/>
        <w:ind w:firstLine="615"/>
        <w:textAlignment w:val="baseline"/>
        <w:rPr>
          <w:color w:val="000000"/>
          <w:kern w:val="0"/>
          <w:sz w:val="24"/>
          <w:szCs w:val="24"/>
        </w:rPr>
      </w:pPr>
      <w:r w:rsidRPr="007F7AE7">
        <w:rPr>
          <w:rFonts w:hint="eastAsia"/>
          <w:color w:val="000000"/>
          <w:kern w:val="0"/>
          <w:sz w:val="24"/>
          <w:szCs w:val="24"/>
        </w:rPr>
        <w:t>5</w:t>
      </w:r>
      <w:r w:rsidRPr="007F7AE7">
        <w:rPr>
          <w:rFonts w:hint="eastAsia"/>
          <w:color w:val="000000"/>
          <w:kern w:val="0"/>
          <w:sz w:val="24"/>
          <w:szCs w:val="24"/>
        </w:rPr>
        <w:t>、上述纳入评价范围的单位、业务和事项以及高风险领域涵盖了公司经营管理的主要方面，不存在重大遗漏。</w:t>
      </w:r>
    </w:p>
    <w:p w14:paraId="0238FA53" w14:textId="77777777" w:rsidR="00C12785" w:rsidRPr="007F7AE7" w:rsidRDefault="00862767">
      <w:pPr>
        <w:autoSpaceDE w:val="0"/>
        <w:autoSpaceDN w:val="0"/>
        <w:spacing w:line="360" w:lineRule="auto"/>
        <w:ind w:firstLine="615"/>
        <w:textAlignment w:val="baseline"/>
        <w:rPr>
          <w:color w:val="000000"/>
          <w:kern w:val="0"/>
          <w:sz w:val="24"/>
          <w:szCs w:val="24"/>
        </w:rPr>
      </w:pPr>
      <w:r w:rsidRPr="007F7AE7">
        <w:rPr>
          <w:rFonts w:hint="eastAsia"/>
          <w:color w:val="000000"/>
          <w:kern w:val="0"/>
          <w:sz w:val="24"/>
          <w:szCs w:val="24"/>
        </w:rPr>
        <w:t>6</w:t>
      </w:r>
      <w:r w:rsidRPr="007F7AE7">
        <w:rPr>
          <w:rFonts w:hint="eastAsia"/>
          <w:color w:val="000000"/>
          <w:kern w:val="0"/>
          <w:sz w:val="24"/>
          <w:szCs w:val="24"/>
        </w:rPr>
        <w:t>、无其他说明事项。</w:t>
      </w:r>
    </w:p>
    <w:p w14:paraId="5EE7FB8C" w14:textId="68B30582"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00D005AE" w:rsidRPr="007F7AE7">
        <w:rPr>
          <w:rFonts w:hint="eastAsia"/>
          <w:color w:val="000000"/>
          <w:kern w:val="0"/>
          <w:sz w:val="24"/>
          <w:szCs w:val="24"/>
        </w:rPr>
        <w:t>二</w:t>
      </w:r>
      <w:r w:rsidRPr="007F7AE7">
        <w:rPr>
          <w:rFonts w:hint="eastAsia"/>
          <w:color w:val="000000"/>
          <w:kern w:val="0"/>
          <w:sz w:val="24"/>
          <w:szCs w:val="24"/>
        </w:rPr>
        <w:t>）内部控制评价工作依据及内部控制缺陷认定标准</w:t>
      </w:r>
    </w:p>
    <w:p w14:paraId="04AA08F3" w14:textId="4BC9EEDB"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公司依据企业内部控制规范体系及《渤海水业股份有限公司内部控制管理办法》组织开展内部控制评价工作。</w:t>
      </w:r>
      <w:r w:rsidRPr="007F7AE7">
        <w:rPr>
          <w:rFonts w:hint="eastAsia"/>
          <w:color w:val="000000"/>
          <w:kern w:val="0"/>
          <w:sz w:val="24"/>
          <w:szCs w:val="24"/>
        </w:rPr>
        <w:t xml:space="preserve"> </w:t>
      </w:r>
    </w:p>
    <w:p w14:paraId="0A2609A7" w14:textId="7D7D1E15"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公司董事会根据企业内部控制规范体系对重大缺陷、重要缺陷和一般缺陷的认定要求，结合公司规模、行业特征、风险偏好和风险承受度等因素，区分财务报告内部控制</w:t>
      </w:r>
      <w:r w:rsidR="009B14D5" w:rsidRPr="007F7AE7">
        <w:rPr>
          <w:rFonts w:hint="eastAsia"/>
          <w:color w:val="000000"/>
          <w:kern w:val="0"/>
          <w:sz w:val="24"/>
          <w:szCs w:val="24"/>
        </w:rPr>
        <w:t>缺陷</w:t>
      </w:r>
      <w:r w:rsidRPr="007F7AE7">
        <w:rPr>
          <w:rFonts w:hint="eastAsia"/>
          <w:color w:val="000000"/>
          <w:kern w:val="0"/>
          <w:sz w:val="24"/>
          <w:szCs w:val="24"/>
        </w:rPr>
        <w:t>和非财务报告内部控制</w:t>
      </w:r>
      <w:r w:rsidR="009B14D5" w:rsidRPr="007F7AE7">
        <w:rPr>
          <w:rFonts w:hint="eastAsia"/>
          <w:color w:val="000000"/>
          <w:kern w:val="0"/>
          <w:sz w:val="24"/>
          <w:szCs w:val="24"/>
        </w:rPr>
        <w:t>缺陷</w:t>
      </w:r>
      <w:r w:rsidRPr="007F7AE7">
        <w:rPr>
          <w:rFonts w:hint="eastAsia"/>
          <w:color w:val="000000"/>
          <w:kern w:val="0"/>
          <w:sz w:val="24"/>
          <w:szCs w:val="24"/>
        </w:rPr>
        <w:t>，研究确定了适用于本公司的内部控制缺陷具体认定标准。公司确定的内部控制缺陷认定标准如下：</w:t>
      </w:r>
    </w:p>
    <w:p w14:paraId="704D080F"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1</w:t>
      </w:r>
      <w:r w:rsidRPr="007F7AE7">
        <w:rPr>
          <w:rFonts w:hint="eastAsia"/>
          <w:color w:val="000000"/>
          <w:kern w:val="0"/>
          <w:sz w:val="24"/>
          <w:szCs w:val="24"/>
        </w:rPr>
        <w:t>、财务报告内部控制缺陷认定标准</w:t>
      </w:r>
      <w:r w:rsidRPr="007F7AE7">
        <w:rPr>
          <w:color w:val="000000"/>
          <w:kern w:val="0"/>
          <w:sz w:val="24"/>
          <w:szCs w:val="24"/>
        </w:rPr>
        <w:tab/>
      </w:r>
    </w:p>
    <w:p w14:paraId="563B10B9"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公司确定的财务报告内部控制缺陷评价的定量标准如下：</w:t>
      </w:r>
    </w:p>
    <w:tbl>
      <w:tblPr>
        <w:tblW w:w="8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7320"/>
      </w:tblGrid>
      <w:tr w:rsidR="00C12785" w:rsidRPr="007F7AE7" w14:paraId="3C0305B5" w14:textId="77777777" w:rsidTr="00824CB6">
        <w:trPr>
          <w:jc w:val="center"/>
        </w:trPr>
        <w:tc>
          <w:tcPr>
            <w:tcW w:w="1555" w:type="dxa"/>
            <w:tcBorders>
              <w:top w:val="single" w:sz="4" w:space="0" w:color="auto"/>
              <w:left w:val="single" w:sz="4" w:space="0" w:color="auto"/>
              <w:bottom w:val="single" w:sz="4" w:space="0" w:color="auto"/>
              <w:right w:val="single" w:sz="4" w:space="0" w:color="auto"/>
            </w:tcBorders>
          </w:tcPr>
          <w:p w14:paraId="32FD6AFD" w14:textId="77777777" w:rsidR="00C12785" w:rsidRPr="007F7AE7" w:rsidRDefault="00862767">
            <w:pPr>
              <w:autoSpaceDE w:val="0"/>
              <w:autoSpaceDN w:val="0"/>
              <w:spacing w:line="360" w:lineRule="auto"/>
              <w:jc w:val="center"/>
              <w:textAlignment w:val="baseline"/>
              <w:rPr>
                <w:color w:val="000000"/>
                <w:kern w:val="0"/>
                <w:sz w:val="24"/>
                <w:szCs w:val="24"/>
              </w:rPr>
            </w:pPr>
            <w:r w:rsidRPr="007F7AE7">
              <w:rPr>
                <w:rFonts w:hint="eastAsia"/>
                <w:color w:val="000000"/>
                <w:kern w:val="0"/>
                <w:sz w:val="24"/>
                <w:szCs w:val="24"/>
              </w:rPr>
              <w:t>分类</w:t>
            </w:r>
          </w:p>
        </w:tc>
        <w:tc>
          <w:tcPr>
            <w:tcW w:w="7320" w:type="dxa"/>
            <w:tcBorders>
              <w:top w:val="single" w:sz="4" w:space="0" w:color="auto"/>
              <w:left w:val="nil"/>
              <w:bottom w:val="single" w:sz="4" w:space="0" w:color="auto"/>
              <w:right w:val="single" w:sz="4" w:space="0" w:color="auto"/>
            </w:tcBorders>
          </w:tcPr>
          <w:p w14:paraId="3EFE4753" w14:textId="77777777" w:rsidR="00C12785" w:rsidRPr="007F7AE7" w:rsidRDefault="00862767">
            <w:pPr>
              <w:autoSpaceDE w:val="0"/>
              <w:autoSpaceDN w:val="0"/>
              <w:spacing w:line="360" w:lineRule="auto"/>
              <w:jc w:val="center"/>
              <w:textAlignment w:val="baseline"/>
              <w:rPr>
                <w:color w:val="000000"/>
                <w:kern w:val="0"/>
                <w:sz w:val="24"/>
                <w:szCs w:val="24"/>
              </w:rPr>
            </w:pPr>
            <w:r w:rsidRPr="007F7AE7">
              <w:rPr>
                <w:rFonts w:hint="eastAsia"/>
                <w:color w:val="000000"/>
                <w:kern w:val="0"/>
                <w:sz w:val="24"/>
                <w:szCs w:val="24"/>
              </w:rPr>
              <w:t>定量标准</w:t>
            </w:r>
          </w:p>
        </w:tc>
      </w:tr>
      <w:tr w:rsidR="00C12785" w:rsidRPr="007F7AE7" w14:paraId="7F2D2B31" w14:textId="77777777" w:rsidTr="00824CB6">
        <w:trPr>
          <w:jc w:val="center"/>
        </w:trPr>
        <w:tc>
          <w:tcPr>
            <w:tcW w:w="1555" w:type="dxa"/>
            <w:tcBorders>
              <w:top w:val="single" w:sz="4" w:space="0" w:color="auto"/>
              <w:left w:val="single" w:sz="4" w:space="0" w:color="auto"/>
              <w:bottom w:val="single" w:sz="4" w:space="0" w:color="auto"/>
              <w:right w:val="single" w:sz="4" w:space="0" w:color="auto"/>
            </w:tcBorders>
          </w:tcPr>
          <w:p w14:paraId="5AFEC054" w14:textId="77777777" w:rsidR="00C12785" w:rsidRPr="007F7AE7" w:rsidRDefault="00862767">
            <w:pPr>
              <w:autoSpaceDE w:val="0"/>
              <w:autoSpaceDN w:val="0"/>
              <w:spacing w:line="360" w:lineRule="auto"/>
              <w:textAlignment w:val="baseline"/>
              <w:rPr>
                <w:color w:val="000000"/>
                <w:kern w:val="0"/>
                <w:sz w:val="24"/>
                <w:szCs w:val="24"/>
              </w:rPr>
            </w:pPr>
            <w:r w:rsidRPr="007F7AE7">
              <w:rPr>
                <w:rFonts w:hint="eastAsia"/>
                <w:color w:val="000000"/>
                <w:kern w:val="0"/>
                <w:sz w:val="24"/>
                <w:szCs w:val="24"/>
              </w:rPr>
              <w:lastRenderedPageBreak/>
              <w:t>重大缺陷</w:t>
            </w:r>
          </w:p>
        </w:tc>
        <w:tc>
          <w:tcPr>
            <w:tcW w:w="7320" w:type="dxa"/>
            <w:tcBorders>
              <w:top w:val="single" w:sz="4" w:space="0" w:color="auto"/>
              <w:left w:val="nil"/>
              <w:bottom w:val="single" w:sz="4" w:space="0" w:color="auto"/>
              <w:right w:val="single" w:sz="4" w:space="0" w:color="auto"/>
            </w:tcBorders>
            <w:vAlign w:val="center"/>
          </w:tcPr>
          <w:p w14:paraId="7A252C9B" w14:textId="77777777" w:rsidR="00C12785" w:rsidRPr="007F7AE7" w:rsidRDefault="00862767">
            <w:pPr>
              <w:autoSpaceDE w:val="0"/>
              <w:autoSpaceDN w:val="0"/>
              <w:spacing w:line="360" w:lineRule="auto"/>
              <w:textAlignment w:val="baseline"/>
              <w:rPr>
                <w:color w:val="000000"/>
                <w:kern w:val="0"/>
                <w:sz w:val="24"/>
                <w:szCs w:val="24"/>
              </w:rPr>
            </w:pPr>
            <w:r w:rsidRPr="007F7AE7">
              <w:rPr>
                <w:color w:val="000000"/>
                <w:kern w:val="0"/>
                <w:sz w:val="24"/>
                <w:szCs w:val="24"/>
              </w:rPr>
              <w:t>重要性水平</w:t>
            </w:r>
            <w:r w:rsidRPr="007F7AE7">
              <w:rPr>
                <w:rFonts w:hint="eastAsia"/>
                <w:color w:val="000000"/>
                <w:kern w:val="0"/>
                <w:sz w:val="24"/>
                <w:szCs w:val="24"/>
              </w:rPr>
              <w:t>≤</w:t>
            </w:r>
            <w:r w:rsidRPr="007F7AE7">
              <w:rPr>
                <w:color w:val="000000"/>
                <w:kern w:val="0"/>
                <w:sz w:val="24"/>
                <w:szCs w:val="24"/>
              </w:rPr>
              <w:t>错报</w:t>
            </w:r>
          </w:p>
        </w:tc>
      </w:tr>
      <w:tr w:rsidR="00C12785" w:rsidRPr="007F7AE7" w14:paraId="449E356A" w14:textId="77777777" w:rsidTr="00824CB6">
        <w:trPr>
          <w:jc w:val="center"/>
        </w:trPr>
        <w:tc>
          <w:tcPr>
            <w:tcW w:w="1555" w:type="dxa"/>
            <w:tcBorders>
              <w:top w:val="single" w:sz="4" w:space="0" w:color="auto"/>
              <w:left w:val="single" w:sz="4" w:space="0" w:color="auto"/>
              <w:bottom w:val="single" w:sz="4" w:space="0" w:color="auto"/>
              <w:right w:val="single" w:sz="4" w:space="0" w:color="auto"/>
            </w:tcBorders>
            <w:vAlign w:val="center"/>
          </w:tcPr>
          <w:p w14:paraId="02DF04CB" w14:textId="77777777" w:rsidR="00C12785" w:rsidRPr="007F7AE7" w:rsidRDefault="00862767" w:rsidP="0020206B">
            <w:pPr>
              <w:autoSpaceDE w:val="0"/>
              <w:autoSpaceDN w:val="0"/>
              <w:spacing w:line="360" w:lineRule="auto"/>
              <w:textAlignment w:val="baseline"/>
              <w:rPr>
                <w:color w:val="000000"/>
                <w:kern w:val="0"/>
                <w:sz w:val="24"/>
                <w:szCs w:val="24"/>
              </w:rPr>
            </w:pPr>
            <w:r w:rsidRPr="007F7AE7">
              <w:rPr>
                <w:rFonts w:hint="eastAsia"/>
                <w:color w:val="000000"/>
                <w:kern w:val="0"/>
                <w:sz w:val="24"/>
                <w:szCs w:val="24"/>
              </w:rPr>
              <w:t>重要缺陷</w:t>
            </w:r>
          </w:p>
        </w:tc>
        <w:tc>
          <w:tcPr>
            <w:tcW w:w="7320" w:type="dxa"/>
            <w:tcBorders>
              <w:top w:val="single" w:sz="4" w:space="0" w:color="auto"/>
              <w:left w:val="nil"/>
              <w:bottom w:val="single" w:sz="4" w:space="0" w:color="auto"/>
              <w:right w:val="single" w:sz="4" w:space="0" w:color="auto"/>
            </w:tcBorders>
            <w:vAlign w:val="center"/>
          </w:tcPr>
          <w:p w14:paraId="40C79B50" w14:textId="77777777" w:rsidR="00C12785" w:rsidRPr="007F7AE7" w:rsidRDefault="00862767">
            <w:pPr>
              <w:autoSpaceDE w:val="0"/>
              <w:autoSpaceDN w:val="0"/>
              <w:spacing w:line="400" w:lineRule="exact"/>
              <w:textAlignment w:val="baseline"/>
              <w:rPr>
                <w:color w:val="000000"/>
                <w:kern w:val="0"/>
                <w:sz w:val="24"/>
                <w:szCs w:val="24"/>
              </w:rPr>
            </w:pPr>
            <w:r w:rsidRPr="007F7AE7">
              <w:rPr>
                <w:color w:val="000000"/>
                <w:kern w:val="0"/>
                <w:sz w:val="24"/>
                <w:szCs w:val="24"/>
              </w:rPr>
              <w:t>重要性水平的</w:t>
            </w:r>
            <w:r w:rsidRPr="007F7AE7">
              <w:rPr>
                <w:color w:val="000000"/>
                <w:kern w:val="0"/>
                <w:sz w:val="24"/>
                <w:szCs w:val="24"/>
              </w:rPr>
              <w:t>50%</w:t>
            </w:r>
            <w:r w:rsidRPr="007F7AE7">
              <w:rPr>
                <w:rFonts w:hint="eastAsia"/>
                <w:color w:val="000000"/>
                <w:kern w:val="0"/>
                <w:sz w:val="24"/>
                <w:szCs w:val="24"/>
              </w:rPr>
              <w:t>≤</w:t>
            </w:r>
            <w:r w:rsidRPr="007F7AE7">
              <w:rPr>
                <w:color w:val="000000"/>
                <w:kern w:val="0"/>
                <w:sz w:val="24"/>
                <w:szCs w:val="24"/>
              </w:rPr>
              <w:t>错报＜重要性水平</w:t>
            </w:r>
          </w:p>
        </w:tc>
      </w:tr>
      <w:tr w:rsidR="00C12785" w:rsidRPr="007F7AE7" w14:paraId="356B4785" w14:textId="77777777" w:rsidTr="00824CB6">
        <w:trPr>
          <w:jc w:val="center"/>
        </w:trPr>
        <w:tc>
          <w:tcPr>
            <w:tcW w:w="1555" w:type="dxa"/>
            <w:tcBorders>
              <w:top w:val="single" w:sz="4" w:space="0" w:color="auto"/>
              <w:left w:val="single" w:sz="4" w:space="0" w:color="auto"/>
              <w:bottom w:val="single" w:sz="4" w:space="0" w:color="auto"/>
              <w:right w:val="single" w:sz="4" w:space="0" w:color="auto"/>
            </w:tcBorders>
          </w:tcPr>
          <w:p w14:paraId="0473FCD4" w14:textId="77777777" w:rsidR="00C12785" w:rsidRPr="007F7AE7" w:rsidRDefault="00862767">
            <w:pPr>
              <w:autoSpaceDE w:val="0"/>
              <w:autoSpaceDN w:val="0"/>
              <w:spacing w:line="360" w:lineRule="auto"/>
              <w:textAlignment w:val="baseline"/>
              <w:rPr>
                <w:color w:val="000000"/>
                <w:kern w:val="0"/>
                <w:sz w:val="24"/>
                <w:szCs w:val="24"/>
              </w:rPr>
            </w:pPr>
            <w:r w:rsidRPr="007F7AE7">
              <w:rPr>
                <w:rFonts w:hint="eastAsia"/>
                <w:color w:val="000000"/>
                <w:kern w:val="0"/>
                <w:sz w:val="24"/>
                <w:szCs w:val="24"/>
              </w:rPr>
              <w:t>一般缺陷</w:t>
            </w:r>
          </w:p>
        </w:tc>
        <w:tc>
          <w:tcPr>
            <w:tcW w:w="7320" w:type="dxa"/>
            <w:tcBorders>
              <w:top w:val="single" w:sz="4" w:space="0" w:color="auto"/>
              <w:left w:val="nil"/>
              <w:bottom w:val="single" w:sz="4" w:space="0" w:color="auto"/>
              <w:right w:val="single" w:sz="4" w:space="0" w:color="auto"/>
            </w:tcBorders>
            <w:vAlign w:val="center"/>
          </w:tcPr>
          <w:p w14:paraId="70B6F1E8" w14:textId="77777777" w:rsidR="00C12785" w:rsidRPr="007F7AE7" w:rsidRDefault="00862767">
            <w:pPr>
              <w:autoSpaceDE w:val="0"/>
              <w:autoSpaceDN w:val="0"/>
              <w:spacing w:line="360" w:lineRule="auto"/>
              <w:textAlignment w:val="baseline"/>
              <w:rPr>
                <w:color w:val="000000"/>
                <w:kern w:val="0"/>
                <w:sz w:val="24"/>
                <w:szCs w:val="24"/>
              </w:rPr>
            </w:pPr>
            <w:r w:rsidRPr="007F7AE7">
              <w:rPr>
                <w:color w:val="000000"/>
                <w:kern w:val="0"/>
                <w:sz w:val="24"/>
                <w:szCs w:val="24"/>
              </w:rPr>
              <w:t>错报＜重要性水平的</w:t>
            </w:r>
            <w:r w:rsidRPr="007F7AE7">
              <w:rPr>
                <w:color w:val="000000"/>
                <w:kern w:val="0"/>
                <w:sz w:val="24"/>
                <w:szCs w:val="24"/>
              </w:rPr>
              <w:t>50%</w:t>
            </w:r>
          </w:p>
        </w:tc>
      </w:tr>
    </w:tbl>
    <w:p w14:paraId="6FA38511"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color w:val="000000"/>
          <w:kern w:val="0"/>
          <w:sz w:val="24"/>
          <w:szCs w:val="24"/>
        </w:rPr>
        <w:t>其中，</w:t>
      </w:r>
      <w:r w:rsidRPr="007F7AE7">
        <w:rPr>
          <w:rFonts w:hint="eastAsia"/>
          <w:color w:val="000000"/>
          <w:kern w:val="0"/>
          <w:sz w:val="24"/>
          <w:szCs w:val="24"/>
        </w:rPr>
        <w:t>本公司以所有者权益总额的</w:t>
      </w:r>
      <w:r w:rsidRPr="007F7AE7">
        <w:rPr>
          <w:color w:val="000000"/>
          <w:kern w:val="0"/>
          <w:sz w:val="24"/>
          <w:szCs w:val="24"/>
        </w:rPr>
        <w:t>1.5%</w:t>
      </w:r>
      <w:r w:rsidRPr="007F7AE7">
        <w:rPr>
          <w:rFonts w:hint="eastAsia"/>
          <w:color w:val="000000"/>
          <w:kern w:val="0"/>
          <w:sz w:val="24"/>
          <w:szCs w:val="24"/>
        </w:rPr>
        <w:t>作为重要性水平。</w:t>
      </w:r>
    </w:p>
    <w:p w14:paraId="6F34CF84"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公司确定的财务报告内部控制缺陷评价的定性标准如下：</w:t>
      </w:r>
    </w:p>
    <w:p w14:paraId="7DDAFCC9" w14:textId="15D3575B" w:rsidR="00E24E8C" w:rsidRPr="007F7AE7" w:rsidRDefault="00862767" w:rsidP="00E24E8C">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具有以下特征的缺陷，应认定为重大缺陷，其他情形按影响程度分别确定为重要缺陷或一般缺陷：</w:t>
      </w:r>
    </w:p>
    <w:p w14:paraId="0D493515"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1</w:t>
      </w:r>
      <w:r w:rsidRPr="007F7AE7">
        <w:rPr>
          <w:rFonts w:hint="eastAsia"/>
          <w:color w:val="000000"/>
          <w:kern w:val="0"/>
          <w:sz w:val="24"/>
          <w:szCs w:val="24"/>
        </w:rPr>
        <w:t>）注册会计师发现董事、监事和高级管理人员的舞弊行为；</w:t>
      </w:r>
    </w:p>
    <w:p w14:paraId="4C8614A2" w14:textId="76886FCD"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2</w:t>
      </w:r>
      <w:r w:rsidRPr="007F7AE7">
        <w:rPr>
          <w:rFonts w:hint="eastAsia"/>
          <w:color w:val="000000"/>
          <w:kern w:val="0"/>
          <w:sz w:val="24"/>
          <w:szCs w:val="24"/>
        </w:rPr>
        <w:t>）公司对已经披露的财务报</w:t>
      </w:r>
      <w:r w:rsidR="001439D0" w:rsidRPr="007F7AE7">
        <w:rPr>
          <w:rFonts w:hint="eastAsia"/>
          <w:color w:val="000000"/>
          <w:kern w:val="0"/>
          <w:sz w:val="24"/>
          <w:szCs w:val="24"/>
        </w:rPr>
        <w:t>表</w:t>
      </w:r>
      <w:r w:rsidRPr="007F7AE7">
        <w:rPr>
          <w:rFonts w:hint="eastAsia"/>
          <w:color w:val="000000"/>
          <w:kern w:val="0"/>
          <w:sz w:val="24"/>
          <w:szCs w:val="24"/>
        </w:rPr>
        <w:t>出现的重大差错进行错报更正；</w:t>
      </w:r>
    </w:p>
    <w:p w14:paraId="4ED278EC" w14:textId="70F46D32"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3</w:t>
      </w:r>
      <w:r w:rsidRPr="007F7AE7">
        <w:rPr>
          <w:rFonts w:hint="eastAsia"/>
          <w:color w:val="000000"/>
          <w:kern w:val="0"/>
          <w:sz w:val="24"/>
          <w:szCs w:val="24"/>
        </w:rPr>
        <w:t>）注册会计师发现当期财务报</w:t>
      </w:r>
      <w:r w:rsidR="001439D0" w:rsidRPr="007F7AE7">
        <w:rPr>
          <w:rFonts w:hint="eastAsia"/>
          <w:color w:val="000000"/>
          <w:kern w:val="0"/>
          <w:sz w:val="24"/>
          <w:szCs w:val="24"/>
        </w:rPr>
        <w:t>表</w:t>
      </w:r>
      <w:r w:rsidRPr="007F7AE7">
        <w:rPr>
          <w:rFonts w:hint="eastAsia"/>
          <w:color w:val="000000"/>
          <w:kern w:val="0"/>
          <w:sz w:val="24"/>
          <w:szCs w:val="24"/>
        </w:rPr>
        <w:t>存在重大错报，而内部控制在运行过程中未能</w:t>
      </w:r>
      <w:r w:rsidR="00A41E25" w:rsidRPr="007F7AE7">
        <w:rPr>
          <w:rFonts w:hint="eastAsia"/>
          <w:color w:val="000000"/>
          <w:kern w:val="0"/>
          <w:sz w:val="24"/>
          <w:szCs w:val="24"/>
        </w:rPr>
        <w:t>发现</w:t>
      </w:r>
      <w:r w:rsidRPr="007F7AE7">
        <w:rPr>
          <w:rFonts w:hint="eastAsia"/>
          <w:color w:val="000000"/>
          <w:kern w:val="0"/>
          <w:sz w:val="24"/>
          <w:szCs w:val="24"/>
        </w:rPr>
        <w:t>该错报；</w:t>
      </w:r>
    </w:p>
    <w:p w14:paraId="7B75C90D"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4</w:t>
      </w:r>
      <w:r w:rsidRPr="007F7AE7">
        <w:rPr>
          <w:rFonts w:hint="eastAsia"/>
          <w:color w:val="000000"/>
          <w:kern w:val="0"/>
          <w:sz w:val="24"/>
          <w:szCs w:val="24"/>
        </w:rPr>
        <w:t>）公司审计委员会和内部审计机构对内部控制的监督无效。</w:t>
      </w:r>
      <w:r w:rsidRPr="007F7AE7">
        <w:rPr>
          <w:color w:val="000000"/>
          <w:kern w:val="0"/>
          <w:sz w:val="24"/>
          <w:szCs w:val="24"/>
        </w:rPr>
        <w:t xml:space="preserve"> </w:t>
      </w:r>
    </w:p>
    <w:p w14:paraId="70AEF753"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2</w:t>
      </w:r>
      <w:r w:rsidRPr="007F7AE7">
        <w:rPr>
          <w:rFonts w:hint="eastAsia"/>
          <w:color w:val="000000"/>
          <w:kern w:val="0"/>
          <w:sz w:val="24"/>
          <w:szCs w:val="24"/>
        </w:rPr>
        <w:t>、非财务报告内部控制缺陷认定标准</w:t>
      </w:r>
    </w:p>
    <w:p w14:paraId="035311E2"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公司确定的非财务报告内部控制缺陷评价的定量标准如下：</w:t>
      </w:r>
    </w:p>
    <w:tbl>
      <w:tblPr>
        <w:tblW w:w="8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7363"/>
      </w:tblGrid>
      <w:tr w:rsidR="00C12785" w:rsidRPr="007F7AE7" w14:paraId="6D992854" w14:textId="77777777" w:rsidTr="007F7AE7">
        <w:trPr>
          <w:jc w:val="center"/>
        </w:trPr>
        <w:tc>
          <w:tcPr>
            <w:tcW w:w="1555" w:type="dxa"/>
            <w:tcBorders>
              <w:top w:val="single" w:sz="4" w:space="0" w:color="auto"/>
              <w:left w:val="single" w:sz="4" w:space="0" w:color="auto"/>
              <w:bottom w:val="single" w:sz="4" w:space="0" w:color="auto"/>
              <w:right w:val="single" w:sz="4" w:space="0" w:color="auto"/>
            </w:tcBorders>
          </w:tcPr>
          <w:p w14:paraId="24E1BFC7" w14:textId="77777777" w:rsidR="00C12785" w:rsidRPr="007F7AE7" w:rsidRDefault="00862767">
            <w:pPr>
              <w:autoSpaceDE w:val="0"/>
              <w:autoSpaceDN w:val="0"/>
              <w:spacing w:line="360" w:lineRule="auto"/>
              <w:jc w:val="center"/>
              <w:textAlignment w:val="baseline"/>
              <w:rPr>
                <w:color w:val="000000"/>
                <w:kern w:val="0"/>
                <w:sz w:val="24"/>
                <w:szCs w:val="24"/>
              </w:rPr>
            </w:pPr>
            <w:r w:rsidRPr="007F7AE7">
              <w:rPr>
                <w:rFonts w:hint="eastAsia"/>
                <w:color w:val="000000"/>
                <w:kern w:val="0"/>
                <w:sz w:val="24"/>
                <w:szCs w:val="24"/>
              </w:rPr>
              <w:t>分类</w:t>
            </w:r>
          </w:p>
        </w:tc>
        <w:tc>
          <w:tcPr>
            <w:tcW w:w="7363" w:type="dxa"/>
            <w:tcBorders>
              <w:top w:val="single" w:sz="4" w:space="0" w:color="auto"/>
              <w:left w:val="nil"/>
              <w:bottom w:val="single" w:sz="4" w:space="0" w:color="auto"/>
              <w:right w:val="single" w:sz="4" w:space="0" w:color="auto"/>
            </w:tcBorders>
          </w:tcPr>
          <w:p w14:paraId="03870360" w14:textId="77777777" w:rsidR="00C12785" w:rsidRPr="007F7AE7" w:rsidRDefault="00862767">
            <w:pPr>
              <w:autoSpaceDE w:val="0"/>
              <w:autoSpaceDN w:val="0"/>
              <w:spacing w:line="360" w:lineRule="auto"/>
              <w:jc w:val="center"/>
              <w:textAlignment w:val="baseline"/>
              <w:rPr>
                <w:color w:val="000000"/>
                <w:kern w:val="0"/>
                <w:sz w:val="24"/>
                <w:szCs w:val="24"/>
              </w:rPr>
            </w:pPr>
            <w:r w:rsidRPr="007F7AE7">
              <w:rPr>
                <w:rFonts w:hint="eastAsia"/>
                <w:color w:val="000000"/>
                <w:kern w:val="0"/>
                <w:sz w:val="24"/>
                <w:szCs w:val="24"/>
              </w:rPr>
              <w:t>定量标准</w:t>
            </w:r>
          </w:p>
        </w:tc>
      </w:tr>
      <w:tr w:rsidR="00C12785" w:rsidRPr="007F7AE7" w14:paraId="61D150A4" w14:textId="77777777" w:rsidTr="007F7AE7">
        <w:trPr>
          <w:jc w:val="center"/>
        </w:trPr>
        <w:tc>
          <w:tcPr>
            <w:tcW w:w="1555" w:type="dxa"/>
            <w:tcBorders>
              <w:top w:val="single" w:sz="4" w:space="0" w:color="auto"/>
              <w:left w:val="single" w:sz="4" w:space="0" w:color="auto"/>
              <w:bottom w:val="single" w:sz="4" w:space="0" w:color="auto"/>
              <w:right w:val="single" w:sz="4" w:space="0" w:color="auto"/>
            </w:tcBorders>
          </w:tcPr>
          <w:p w14:paraId="27AD1009" w14:textId="77777777" w:rsidR="00C12785" w:rsidRPr="007F7AE7" w:rsidRDefault="00862767">
            <w:pPr>
              <w:autoSpaceDE w:val="0"/>
              <w:autoSpaceDN w:val="0"/>
              <w:spacing w:line="360" w:lineRule="auto"/>
              <w:textAlignment w:val="baseline"/>
              <w:rPr>
                <w:color w:val="000000"/>
                <w:kern w:val="0"/>
                <w:sz w:val="24"/>
                <w:szCs w:val="24"/>
              </w:rPr>
            </w:pPr>
            <w:r w:rsidRPr="007F7AE7">
              <w:rPr>
                <w:rFonts w:hint="eastAsia"/>
                <w:color w:val="000000"/>
                <w:kern w:val="0"/>
                <w:sz w:val="24"/>
                <w:szCs w:val="24"/>
              </w:rPr>
              <w:t>重大缺陷</w:t>
            </w:r>
          </w:p>
        </w:tc>
        <w:tc>
          <w:tcPr>
            <w:tcW w:w="7363" w:type="dxa"/>
            <w:tcBorders>
              <w:top w:val="single" w:sz="4" w:space="0" w:color="auto"/>
              <w:left w:val="nil"/>
              <w:bottom w:val="single" w:sz="4" w:space="0" w:color="auto"/>
              <w:right w:val="single" w:sz="4" w:space="0" w:color="auto"/>
            </w:tcBorders>
            <w:vAlign w:val="center"/>
          </w:tcPr>
          <w:p w14:paraId="354CE3F0" w14:textId="77777777" w:rsidR="00C12785" w:rsidRPr="007F7AE7" w:rsidRDefault="00862767">
            <w:pPr>
              <w:autoSpaceDE w:val="0"/>
              <w:autoSpaceDN w:val="0"/>
              <w:spacing w:line="360" w:lineRule="auto"/>
              <w:textAlignment w:val="baseline"/>
              <w:rPr>
                <w:color w:val="000000"/>
                <w:kern w:val="0"/>
                <w:sz w:val="24"/>
                <w:szCs w:val="24"/>
              </w:rPr>
            </w:pPr>
            <w:r w:rsidRPr="007F7AE7">
              <w:rPr>
                <w:color w:val="000000"/>
                <w:kern w:val="0"/>
                <w:sz w:val="24"/>
                <w:szCs w:val="24"/>
              </w:rPr>
              <w:t>重要性水平</w:t>
            </w:r>
            <w:r w:rsidRPr="007F7AE7">
              <w:rPr>
                <w:rFonts w:hint="eastAsia"/>
                <w:color w:val="000000"/>
                <w:kern w:val="0"/>
                <w:sz w:val="24"/>
                <w:szCs w:val="24"/>
              </w:rPr>
              <w:t>≤</w:t>
            </w:r>
            <w:r w:rsidRPr="007F7AE7">
              <w:rPr>
                <w:color w:val="000000"/>
                <w:kern w:val="0"/>
                <w:sz w:val="24"/>
                <w:szCs w:val="24"/>
              </w:rPr>
              <w:t>错报</w:t>
            </w:r>
          </w:p>
        </w:tc>
      </w:tr>
      <w:tr w:rsidR="00C12785" w:rsidRPr="007F7AE7" w14:paraId="6C96230D" w14:textId="77777777" w:rsidTr="007F7AE7">
        <w:trPr>
          <w:jc w:val="center"/>
        </w:trPr>
        <w:tc>
          <w:tcPr>
            <w:tcW w:w="1555" w:type="dxa"/>
            <w:tcBorders>
              <w:top w:val="single" w:sz="4" w:space="0" w:color="auto"/>
              <w:left w:val="single" w:sz="4" w:space="0" w:color="auto"/>
              <w:bottom w:val="single" w:sz="4" w:space="0" w:color="auto"/>
              <w:right w:val="single" w:sz="4" w:space="0" w:color="auto"/>
            </w:tcBorders>
          </w:tcPr>
          <w:p w14:paraId="360F9758" w14:textId="77777777" w:rsidR="00C12785" w:rsidRPr="007F7AE7" w:rsidRDefault="00862767">
            <w:pPr>
              <w:autoSpaceDE w:val="0"/>
              <w:autoSpaceDN w:val="0"/>
              <w:spacing w:line="360" w:lineRule="auto"/>
              <w:textAlignment w:val="baseline"/>
              <w:rPr>
                <w:color w:val="000000"/>
                <w:kern w:val="0"/>
                <w:sz w:val="24"/>
                <w:szCs w:val="24"/>
              </w:rPr>
            </w:pPr>
            <w:r w:rsidRPr="007F7AE7">
              <w:rPr>
                <w:rFonts w:hint="eastAsia"/>
                <w:color w:val="000000"/>
                <w:kern w:val="0"/>
                <w:sz w:val="24"/>
                <w:szCs w:val="24"/>
              </w:rPr>
              <w:t>重要缺陷</w:t>
            </w:r>
          </w:p>
        </w:tc>
        <w:tc>
          <w:tcPr>
            <w:tcW w:w="7363" w:type="dxa"/>
            <w:tcBorders>
              <w:top w:val="single" w:sz="4" w:space="0" w:color="auto"/>
              <w:left w:val="nil"/>
              <w:bottom w:val="single" w:sz="4" w:space="0" w:color="auto"/>
              <w:right w:val="single" w:sz="4" w:space="0" w:color="auto"/>
            </w:tcBorders>
            <w:vAlign w:val="center"/>
          </w:tcPr>
          <w:p w14:paraId="0F2DD6CD" w14:textId="77777777" w:rsidR="00C12785" w:rsidRPr="007F7AE7" w:rsidRDefault="00862767">
            <w:pPr>
              <w:autoSpaceDE w:val="0"/>
              <w:autoSpaceDN w:val="0"/>
              <w:spacing w:line="400" w:lineRule="exact"/>
              <w:textAlignment w:val="baseline"/>
              <w:rPr>
                <w:color w:val="000000"/>
                <w:kern w:val="0"/>
                <w:sz w:val="24"/>
                <w:szCs w:val="24"/>
              </w:rPr>
            </w:pPr>
            <w:r w:rsidRPr="007F7AE7">
              <w:rPr>
                <w:color w:val="000000"/>
                <w:kern w:val="0"/>
                <w:sz w:val="24"/>
                <w:szCs w:val="24"/>
              </w:rPr>
              <w:t>重要性水平的</w:t>
            </w:r>
            <w:r w:rsidRPr="007F7AE7">
              <w:rPr>
                <w:color w:val="000000"/>
                <w:kern w:val="0"/>
                <w:sz w:val="24"/>
                <w:szCs w:val="24"/>
              </w:rPr>
              <w:t>50%</w:t>
            </w:r>
            <w:r w:rsidRPr="007F7AE7">
              <w:rPr>
                <w:rFonts w:hint="eastAsia"/>
                <w:color w:val="000000"/>
                <w:kern w:val="0"/>
                <w:sz w:val="24"/>
                <w:szCs w:val="24"/>
              </w:rPr>
              <w:t>≤</w:t>
            </w:r>
            <w:r w:rsidRPr="007F7AE7">
              <w:rPr>
                <w:color w:val="000000"/>
                <w:kern w:val="0"/>
                <w:sz w:val="24"/>
                <w:szCs w:val="24"/>
              </w:rPr>
              <w:t>错报＜重要性水平</w:t>
            </w:r>
          </w:p>
        </w:tc>
      </w:tr>
      <w:tr w:rsidR="00C12785" w:rsidRPr="007F7AE7" w14:paraId="0DC3D270" w14:textId="77777777" w:rsidTr="007F7AE7">
        <w:trPr>
          <w:jc w:val="center"/>
        </w:trPr>
        <w:tc>
          <w:tcPr>
            <w:tcW w:w="1555" w:type="dxa"/>
            <w:tcBorders>
              <w:top w:val="single" w:sz="4" w:space="0" w:color="auto"/>
              <w:left w:val="single" w:sz="4" w:space="0" w:color="auto"/>
              <w:bottom w:val="single" w:sz="4" w:space="0" w:color="auto"/>
              <w:right w:val="single" w:sz="4" w:space="0" w:color="auto"/>
            </w:tcBorders>
          </w:tcPr>
          <w:p w14:paraId="56CBACD9" w14:textId="77777777" w:rsidR="00C12785" w:rsidRPr="007F7AE7" w:rsidRDefault="00862767">
            <w:pPr>
              <w:autoSpaceDE w:val="0"/>
              <w:autoSpaceDN w:val="0"/>
              <w:spacing w:line="360" w:lineRule="auto"/>
              <w:textAlignment w:val="baseline"/>
              <w:rPr>
                <w:color w:val="000000"/>
                <w:kern w:val="0"/>
                <w:sz w:val="24"/>
                <w:szCs w:val="24"/>
              </w:rPr>
            </w:pPr>
            <w:r w:rsidRPr="007F7AE7">
              <w:rPr>
                <w:rFonts w:hint="eastAsia"/>
                <w:color w:val="000000"/>
                <w:kern w:val="0"/>
                <w:sz w:val="24"/>
                <w:szCs w:val="24"/>
              </w:rPr>
              <w:t>一般缺陷</w:t>
            </w:r>
          </w:p>
        </w:tc>
        <w:tc>
          <w:tcPr>
            <w:tcW w:w="7363" w:type="dxa"/>
            <w:tcBorders>
              <w:top w:val="single" w:sz="4" w:space="0" w:color="auto"/>
              <w:left w:val="nil"/>
              <w:bottom w:val="single" w:sz="4" w:space="0" w:color="auto"/>
              <w:right w:val="single" w:sz="4" w:space="0" w:color="auto"/>
            </w:tcBorders>
            <w:vAlign w:val="center"/>
          </w:tcPr>
          <w:p w14:paraId="5EB2D5E0" w14:textId="77777777" w:rsidR="00C12785" w:rsidRPr="007F7AE7" w:rsidRDefault="00862767">
            <w:pPr>
              <w:autoSpaceDE w:val="0"/>
              <w:autoSpaceDN w:val="0"/>
              <w:spacing w:line="360" w:lineRule="auto"/>
              <w:textAlignment w:val="baseline"/>
              <w:rPr>
                <w:color w:val="000000"/>
                <w:kern w:val="0"/>
                <w:sz w:val="24"/>
                <w:szCs w:val="24"/>
              </w:rPr>
            </w:pPr>
            <w:r w:rsidRPr="007F7AE7">
              <w:rPr>
                <w:color w:val="000000"/>
                <w:kern w:val="0"/>
                <w:sz w:val="24"/>
                <w:szCs w:val="24"/>
              </w:rPr>
              <w:t>错报＜重要性水平的</w:t>
            </w:r>
            <w:r w:rsidRPr="007F7AE7">
              <w:rPr>
                <w:color w:val="000000"/>
                <w:kern w:val="0"/>
                <w:sz w:val="24"/>
                <w:szCs w:val="24"/>
              </w:rPr>
              <w:t>50%</w:t>
            </w:r>
          </w:p>
        </w:tc>
      </w:tr>
    </w:tbl>
    <w:p w14:paraId="2C6CC0EB"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color w:val="000000"/>
          <w:kern w:val="0"/>
          <w:sz w:val="24"/>
          <w:szCs w:val="24"/>
        </w:rPr>
        <w:t>其中，本公司以</w:t>
      </w:r>
      <w:r w:rsidRPr="007F7AE7">
        <w:rPr>
          <w:rFonts w:hint="eastAsia"/>
          <w:color w:val="000000"/>
          <w:kern w:val="0"/>
          <w:sz w:val="24"/>
          <w:szCs w:val="24"/>
        </w:rPr>
        <w:t>所有者权益总额</w:t>
      </w:r>
      <w:r w:rsidRPr="007F7AE7">
        <w:rPr>
          <w:color w:val="000000"/>
          <w:kern w:val="0"/>
          <w:sz w:val="24"/>
          <w:szCs w:val="24"/>
        </w:rPr>
        <w:t>的</w:t>
      </w:r>
      <w:r w:rsidRPr="007F7AE7">
        <w:rPr>
          <w:color w:val="000000"/>
          <w:kern w:val="0"/>
          <w:sz w:val="24"/>
          <w:szCs w:val="24"/>
        </w:rPr>
        <w:t>1.5%</w:t>
      </w:r>
      <w:r w:rsidRPr="007F7AE7">
        <w:rPr>
          <w:color w:val="000000"/>
          <w:kern w:val="0"/>
          <w:sz w:val="24"/>
          <w:szCs w:val="24"/>
        </w:rPr>
        <w:t>作为重要性水平。</w:t>
      </w:r>
    </w:p>
    <w:p w14:paraId="6331D3FB"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公司确定的非财务报告内部控制缺陷评价的定性标准如下：</w:t>
      </w:r>
    </w:p>
    <w:p w14:paraId="099E3182"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具有以下特征的缺陷，应认定为重大缺陷，其他情形按影响程度分别确定为重要缺陷或一般缺陷：</w:t>
      </w:r>
    </w:p>
    <w:p w14:paraId="14DDFC3B" w14:textId="6C0E1BEF"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1</w:t>
      </w:r>
      <w:r w:rsidRPr="007F7AE7">
        <w:rPr>
          <w:rFonts w:hint="eastAsia"/>
          <w:color w:val="000000"/>
          <w:kern w:val="0"/>
          <w:sz w:val="24"/>
          <w:szCs w:val="24"/>
        </w:rPr>
        <w:t>）公司决策程序导致重大损失；</w:t>
      </w:r>
    </w:p>
    <w:p w14:paraId="23221929"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2</w:t>
      </w:r>
      <w:r w:rsidRPr="007F7AE7">
        <w:rPr>
          <w:rFonts w:hint="eastAsia"/>
          <w:color w:val="000000"/>
          <w:kern w:val="0"/>
          <w:sz w:val="24"/>
          <w:szCs w:val="24"/>
        </w:rPr>
        <w:t>）严重违反法律法规；</w:t>
      </w:r>
    </w:p>
    <w:p w14:paraId="6E2BF66F"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3</w:t>
      </w:r>
      <w:r w:rsidRPr="007F7AE7">
        <w:rPr>
          <w:rFonts w:hint="eastAsia"/>
          <w:color w:val="000000"/>
          <w:kern w:val="0"/>
          <w:sz w:val="24"/>
          <w:szCs w:val="24"/>
        </w:rPr>
        <w:t>）媒体出现负面新闻涉及面广且负面影响一直未能消除；</w:t>
      </w:r>
    </w:p>
    <w:p w14:paraId="2799F789"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4</w:t>
      </w:r>
      <w:r w:rsidRPr="007F7AE7">
        <w:rPr>
          <w:rFonts w:hint="eastAsia"/>
          <w:color w:val="000000"/>
          <w:kern w:val="0"/>
          <w:sz w:val="24"/>
          <w:szCs w:val="24"/>
        </w:rPr>
        <w:t>）公司内部控制重大缺陷未得到整改；</w:t>
      </w:r>
    </w:p>
    <w:p w14:paraId="58BA1C4F"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5</w:t>
      </w:r>
      <w:r w:rsidRPr="007F7AE7">
        <w:rPr>
          <w:rFonts w:hint="eastAsia"/>
          <w:color w:val="000000"/>
          <w:kern w:val="0"/>
          <w:sz w:val="24"/>
          <w:szCs w:val="24"/>
        </w:rPr>
        <w:t>）重要业务缺乏制度控制或制度系统性失效；</w:t>
      </w:r>
    </w:p>
    <w:p w14:paraId="76DCDEDC"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Pr="007F7AE7">
        <w:rPr>
          <w:rFonts w:hint="eastAsia"/>
          <w:color w:val="000000"/>
          <w:kern w:val="0"/>
          <w:sz w:val="24"/>
          <w:szCs w:val="24"/>
        </w:rPr>
        <w:t>6</w:t>
      </w:r>
      <w:r w:rsidRPr="007F7AE7">
        <w:rPr>
          <w:rFonts w:hint="eastAsia"/>
          <w:color w:val="000000"/>
          <w:kern w:val="0"/>
          <w:sz w:val="24"/>
          <w:szCs w:val="24"/>
        </w:rPr>
        <w:t>）公司受到证监会处罚或证券交易所警告。</w:t>
      </w:r>
    </w:p>
    <w:p w14:paraId="125E87CC" w14:textId="2E6B2815"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w:t>
      </w:r>
      <w:r w:rsidR="009B14D5" w:rsidRPr="007F7AE7">
        <w:rPr>
          <w:rFonts w:hint="eastAsia"/>
          <w:color w:val="000000"/>
          <w:kern w:val="0"/>
          <w:sz w:val="24"/>
          <w:szCs w:val="24"/>
        </w:rPr>
        <w:t>三</w:t>
      </w:r>
      <w:r w:rsidRPr="007F7AE7">
        <w:rPr>
          <w:rFonts w:hint="eastAsia"/>
          <w:color w:val="000000"/>
          <w:kern w:val="0"/>
          <w:sz w:val="24"/>
          <w:szCs w:val="24"/>
        </w:rPr>
        <w:t>）内部控制缺陷认定及整改情况</w:t>
      </w:r>
    </w:p>
    <w:p w14:paraId="4F8C69E9"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lastRenderedPageBreak/>
        <w:t>1</w:t>
      </w:r>
      <w:r w:rsidRPr="007F7AE7">
        <w:rPr>
          <w:rFonts w:hint="eastAsia"/>
          <w:color w:val="000000"/>
          <w:kern w:val="0"/>
          <w:sz w:val="24"/>
          <w:szCs w:val="24"/>
        </w:rPr>
        <w:t>、财务报告内部控制缺陷认定及整改情况</w:t>
      </w:r>
    </w:p>
    <w:p w14:paraId="3746C729" w14:textId="50F50FDC" w:rsidR="00452960" w:rsidRPr="007F7AE7" w:rsidRDefault="00862767" w:rsidP="009B14D5">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根据上述财务报告内部控制缺陷的认定标准，报告期内公司不存在财务报告内部控制重大缺陷、重要缺陷。</w:t>
      </w:r>
      <w:r w:rsidR="00452960" w:rsidRPr="007F7AE7">
        <w:rPr>
          <w:rFonts w:hint="eastAsia"/>
          <w:color w:val="000000"/>
          <w:kern w:val="0"/>
          <w:sz w:val="24"/>
          <w:szCs w:val="24"/>
        </w:rPr>
        <w:t>公司财务报告内部控制在日常运行中可能存在一般缺陷，由于公司内部控制设置自查、审查、评价及整改的内部监管机制，公司对于发现的内部控制缺陷能够及时进行调整和改善，该缺陷按照前述内部控制缺陷认定标准，不属于内部控制重大或重要缺陷，且对公司内部控制整体有效性评价结论不构成实质性影响。</w:t>
      </w:r>
    </w:p>
    <w:p w14:paraId="09605FB2" w14:textId="77777777" w:rsidR="00C12785" w:rsidRPr="007F7AE7" w:rsidRDefault="00862767">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2</w:t>
      </w:r>
      <w:r w:rsidRPr="007F7AE7">
        <w:rPr>
          <w:rFonts w:hint="eastAsia"/>
          <w:color w:val="000000"/>
          <w:kern w:val="0"/>
          <w:sz w:val="24"/>
          <w:szCs w:val="24"/>
        </w:rPr>
        <w:t>、非财务报告内部控制缺陷认定及整改情况</w:t>
      </w:r>
    </w:p>
    <w:p w14:paraId="346ACDE1" w14:textId="10463C9B" w:rsidR="00C12785" w:rsidRPr="007F7AE7" w:rsidRDefault="00862767" w:rsidP="009B14D5">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根据上述非财务报告内部控制缺陷的认定标准，报告期内未发现公司非财务报告内部控制重大缺陷、重要缺陷。公司非财务报告内部控制在日常运行中可能存在一般缺陷，由于公司内部控制设置自查、审查、评价及整改的内部监管机制，公司对于发现的内部控制缺陷能够及时进行调整和改善，该缺陷按照前述内部控制缺陷认定标准，不属于内部控制重大或重要缺陷，且对公司内部控制整体有效性评价结论不构成</w:t>
      </w:r>
      <w:r w:rsidR="003E5A2A" w:rsidRPr="007F7AE7">
        <w:rPr>
          <w:rFonts w:hint="eastAsia"/>
          <w:color w:val="000000"/>
          <w:kern w:val="0"/>
          <w:sz w:val="24"/>
          <w:szCs w:val="24"/>
        </w:rPr>
        <w:t>实质性</w:t>
      </w:r>
      <w:r w:rsidRPr="007F7AE7">
        <w:rPr>
          <w:rFonts w:hint="eastAsia"/>
          <w:color w:val="000000"/>
          <w:kern w:val="0"/>
          <w:sz w:val="24"/>
          <w:szCs w:val="24"/>
        </w:rPr>
        <w:t>影响。</w:t>
      </w:r>
    </w:p>
    <w:p w14:paraId="00690E41" w14:textId="77777777" w:rsidR="00C12785" w:rsidRPr="007F7AE7" w:rsidRDefault="00862767">
      <w:pPr>
        <w:autoSpaceDE w:val="0"/>
        <w:autoSpaceDN w:val="0"/>
        <w:spacing w:line="360" w:lineRule="auto"/>
        <w:ind w:firstLine="567"/>
        <w:textAlignment w:val="baseline"/>
        <w:rPr>
          <w:b/>
          <w:bCs/>
          <w:color w:val="000000"/>
          <w:kern w:val="0"/>
          <w:sz w:val="24"/>
          <w:szCs w:val="24"/>
        </w:rPr>
      </w:pPr>
      <w:r w:rsidRPr="007F7AE7">
        <w:rPr>
          <w:rFonts w:hint="eastAsia"/>
          <w:b/>
          <w:bCs/>
          <w:color w:val="000000"/>
          <w:kern w:val="0"/>
          <w:sz w:val="24"/>
          <w:szCs w:val="24"/>
        </w:rPr>
        <w:t>四、其他内部控制相关重大事项说明</w:t>
      </w:r>
    </w:p>
    <w:p w14:paraId="1FAE6443" w14:textId="69E48632" w:rsidR="00877075" w:rsidRPr="007F7AE7" w:rsidRDefault="00877075">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1</w:t>
      </w:r>
      <w:r w:rsidR="00862767" w:rsidRPr="007F7AE7">
        <w:rPr>
          <w:rFonts w:hint="eastAsia"/>
          <w:color w:val="000000"/>
          <w:kern w:val="0"/>
          <w:sz w:val="24"/>
          <w:szCs w:val="24"/>
        </w:rPr>
        <w:t>、公司本年度内部控制运行情况及下一年度改进方向</w:t>
      </w:r>
    </w:p>
    <w:p w14:paraId="5CFD88E4" w14:textId="718FCF37" w:rsidR="00E504E9" w:rsidRPr="007F7AE7" w:rsidRDefault="000C5D2D" w:rsidP="008D2938">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2023</w:t>
      </w:r>
      <w:r w:rsidR="00862767" w:rsidRPr="007F7AE7">
        <w:rPr>
          <w:rFonts w:hint="eastAsia"/>
          <w:color w:val="000000"/>
          <w:kern w:val="0"/>
          <w:sz w:val="24"/>
          <w:szCs w:val="24"/>
        </w:rPr>
        <w:t>年度，</w:t>
      </w:r>
      <w:r w:rsidR="00DE32CF" w:rsidRPr="007F7AE7">
        <w:rPr>
          <w:rFonts w:hint="eastAsia"/>
          <w:color w:val="000000"/>
          <w:kern w:val="0"/>
          <w:sz w:val="24"/>
          <w:szCs w:val="24"/>
        </w:rPr>
        <w:t>公司按照企业内部控制规范体系和相关规定要求，</w:t>
      </w:r>
      <w:r w:rsidR="009B7EAF" w:rsidRPr="007F7AE7">
        <w:rPr>
          <w:rFonts w:hint="eastAsia"/>
          <w:color w:val="000000"/>
          <w:kern w:val="0"/>
          <w:sz w:val="24"/>
          <w:szCs w:val="24"/>
        </w:rPr>
        <w:t>明确风险控制要点，</w:t>
      </w:r>
      <w:r w:rsidR="00DE32CF" w:rsidRPr="007F7AE7">
        <w:rPr>
          <w:rFonts w:hint="eastAsia"/>
          <w:color w:val="000000"/>
          <w:kern w:val="0"/>
          <w:sz w:val="24"/>
          <w:szCs w:val="24"/>
        </w:rPr>
        <w:t>通过实施系列管控措施，合理保证经营管理的合法合</w:t>
      </w:r>
      <w:proofErr w:type="gramStart"/>
      <w:r w:rsidR="00DE32CF" w:rsidRPr="007F7AE7">
        <w:rPr>
          <w:rFonts w:hint="eastAsia"/>
          <w:color w:val="000000"/>
          <w:kern w:val="0"/>
          <w:sz w:val="24"/>
          <w:szCs w:val="24"/>
        </w:rPr>
        <w:t>规</w:t>
      </w:r>
      <w:proofErr w:type="gramEnd"/>
      <w:r w:rsidR="00DE32CF" w:rsidRPr="007F7AE7">
        <w:rPr>
          <w:rFonts w:hint="eastAsia"/>
          <w:color w:val="000000"/>
          <w:kern w:val="0"/>
          <w:sz w:val="24"/>
          <w:szCs w:val="24"/>
        </w:rPr>
        <w:t>、资产安全、财务报告及相关信息的真实完整，提高了经营效率和效果。</w:t>
      </w:r>
      <w:r w:rsidR="008D2938" w:rsidRPr="007F7AE7">
        <w:rPr>
          <w:rFonts w:hint="eastAsia"/>
          <w:color w:val="000000"/>
          <w:kern w:val="0"/>
          <w:sz w:val="24"/>
          <w:szCs w:val="24"/>
        </w:rPr>
        <w:t>未来期间，根据公司的发展战略和目标任务，公司将继续深化风险导向型内部控制体系建设，</w:t>
      </w:r>
      <w:r w:rsidR="00E504E9" w:rsidRPr="007F7AE7">
        <w:rPr>
          <w:rFonts w:hint="eastAsia"/>
          <w:color w:val="000000"/>
          <w:kern w:val="0"/>
          <w:sz w:val="24"/>
          <w:szCs w:val="24"/>
        </w:rPr>
        <w:t>完善内部控制各项制度，规范内部控制制度执行，强化内部控制监督检查，</w:t>
      </w:r>
      <w:r w:rsidR="00C869A0" w:rsidRPr="007F7AE7">
        <w:rPr>
          <w:rFonts w:hint="eastAsia"/>
          <w:color w:val="000000"/>
          <w:kern w:val="0"/>
          <w:sz w:val="24"/>
          <w:szCs w:val="24"/>
        </w:rPr>
        <w:t>优化内部控制流程，</w:t>
      </w:r>
      <w:r w:rsidR="00643EE7" w:rsidRPr="007F7AE7">
        <w:rPr>
          <w:rFonts w:hint="eastAsia"/>
          <w:color w:val="000000"/>
          <w:kern w:val="0"/>
          <w:sz w:val="24"/>
          <w:szCs w:val="24"/>
        </w:rPr>
        <w:t>提升公司经营管理水平和风险防范能力</w:t>
      </w:r>
      <w:r w:rsidR="00D31457" w:rsidRPr="007F7AE7">
        <w:rPr>
          <w:rFonts w:hint="eastAsia"/>
          <w:color w:val="000000"/>
          <w:kern w:val="0"/>
          <w:sz w:val="24"/>
          <w:szCs w:val="24"/>
        </w:rPr>
        <w:t>，</w:t>
      </w:r>
      <w:r w:rsidR="00E504E9" w:rsidRPr="007F7AE7">
        <w:rPr>
          <w:rFonts w:hint="eastAsia"/>
          <w:color w:val="000000"/>
          <w:kern w:val="0"/>
          <w:sz w:val="24"/>
          <w:szCs w:val="24"/>
        </w:rPr>
        <w:t>促进公司健康、可持续发展。</w:t>
      </w:r>
    </w:p>
    <w:p w14:paraId="7CC89DC6" w14:textId="67248940" w:rsidR="00C12785" w:rsidRPr="007F7AE7" w:rsidRDefault="00877075">
      <w:pPr>
        <w:autoSpaceDE w:val="0"/>
        <w:autoSpaceDN w:val="0"/>
        <w:spacing w:line="360" w:lineRule="auto"/>
        <w:ind w:firstLine="567"/>
        <w:textAlignment w:val="baseline"/>
        <w:rPr>
          <w:color w:val="000000"/>
          <w:kern w:val="0"/>
          <w:sz w:val="24"/>
          <w:szCs w:val="24"/>
        </w:rPr>
      </w:pPr>
      <w:r w:rsidRPr="007F7AE7">
        <w:rPr>
          <w:rFonts w:hint="eastAsia"/>
          <w:color w:val="000000"/>
          <w:kern w:val="0"/>
          <w:sz w:val="24"/>
          <w:szCs w:val="24"/>
        </w:rPr>
        <w:t>2</w:t>
      </w:r>
      <w:r w:rsidR="00862767" w:rsidRPr="007F7AE7">
        <w:rPr>
          <w:rFonts w:hint="eastAsia"/>
          <w:color w:val="000000"/>
          <w:kern w:val="0"/>
          <w:sz w:val="24"/>
          <w:szCs w:val="24"/>
        </w:rPr>
        <w:t>、其他重大事项说明</w:t>
      </w:r>
    </w:p>
    <w:p w14:paraId="3759A972" w14:textId="77777777" w:rsidR="00C12785" w:rsidRPr="007F7AE7" w:rsidRDefault="00862767">
      <w:pPr>
        <w:autoSpaceDE w:val="0"/>
        <w:autoSpaceDN w:val="0"/>
        <w:spacing w:line="360" w:lineRule="auto"/>
        <w:ind w:firstLineChars="200" w:firstLine="480"/>
        <w:textAlignment w:val="baseline"/>
        <w:rPr>
          <w:color w:val="000000"/>
          <w:kern w:val="0"/>
          <w:sz w:val="24"/>
          <w:szCs w:val="24"/>
        </w:rPr>
      </w:pPr>
      <w:r w:rsidRPr="007F7AE7">
        <w:rPr>
          <w:rFonts w:hint="eastAsia"/>
          <w:color w:val="000000"/>
          <w:kern w:val="0"/>
          <w:sz w:val="24"/>
          <w:szCs w:val="24"/>
        </w:rPr>
        <w:t>无。</w:t>
      </w:r>
    </w:p>
    <w:p w14:paraId="05C63F47" w14:textId="77777777" w:rsidR="00C12785" w:rsidRPr="007F7AE7" w:rsidRDefault="00862767">
      <w:pPr>
        <w:autoSpaceDE w:val="0"/>
        <w:autoSpaceDN w:val="0"/>
        <w:spacing w:line="360" w:lineRule="auto"/>
        <w:ind w:firstLineChars="200" w:firstLine="480"/>
        <w:textAlignment w:val="baseline"/>
        <w:rPr>
          <w:color w:val="000000"/>
          <w:kern w:val="0"/>
          <w:sz w:val="24"/>
          <w:szCs w:val="24"/>
        </w:rPr>
      </w:pPr>
      <w:r w:rsidRPr="007F7AE7">
        <w:rPr>
          <w:rFonts w:hint="eastAsia"/>
          <w:color w:val="000000"/>
          <w:kern w:val="0"/>
          <w:sz w:val="24"/>
          <w:szCs w:val="24"/>
        </w:rPr>
        <w:t xml:space="preserve"> </w:t>
      </w:r>
    </w:p>
    <w:p w14:paraId="21763780" w14:textId="77777777" w:rsidR="00C12785" w:rsidRPr="007F7AE7" w:rsidRDefault="00862767">
      <w:pPr>
        <w:autoSpaceDE w:val="0"/>
        <w:autoSpaceDN w:val="0"/>
        <w:spacing w:line="360" w:lineRule="auto"/>
        <w:ind w:firstLineChars="200" w:firstLine="480"/>
        <w:textAlignment w:val="baseline"/>
        <w:rPr>
          <w:color w:val="000000"/>
          <w:kern w:val="0"/>
          <w:sz w:val="24"/>
          <w:szCs w:val="24"/>
        </w:rPr>
      </w:pPr>
      <w:r w:rsidRPr="007F7AE7">
        <w:rPr>
          <w:rFonts w:hint="eastAsia"/>
          <w:color w:val="000000"/>
          <w:kern w:val="0"/>
          <w:sz w:val="24"/>
          <w:szCs w:val="24"/>
        </w:rPr>
        <w:t xml:space="preserve"> </w:t>
      </w:r>
    </w:p>
    <w:p w14:paraId="46FAF018" w14:textId="224C9610" w:rsidR="00C12785" w:rsidRPr="007F7AE7" w:rsidRDefault="00862767" w:rsidP="008A5503">
      <w:pPr>
        <w:autoSpaceDE w:val="0"/>
        <w:autoSpaceDN w:val="0"/>
        <w:spacing w:line="360" w:lineRule="auto"/>
        <w:ind w:firstLineChars="200" w:firstLine="480"/>
        <w:textAlignment w:val="baseline"/>
        <w:rPr>
          <w:color w:val="000000"/>
          <w:kern w:val="0"/>
          <w:sz w:val="24"/>
          <w:szCs w:val="24"/>
        </w:rPr>
      </w:pPr>
      <w:r w:rsidRPr="007F7AE7">
        <w:rPr>
          <w:rFonts w:hint="eastAsia"/>
          <w:color w:val="000000"/>
          <w:kern w:val="0"/>
          <w:sz w:val="24"/>
          <w:szCs w:val="24"/>
        </w:rPr>
        <w:t xml:space="preserve"> </w:t>
      </w:r>
    </w:p>
    <w:p w14:paraId="23D9AF73" w14:textId="77777777" w:rsidR="00C12785" w:rsidRPr="007F7AE7" w:rsidRDefault="00862767">
      <w:pPr>
        <w:autoSpaceDE w:val="0"/>
        <w:autoSpaceDN w:val="0"/>
        <w:spacing w:line="360" w:lineRule="auto"/>
        <w:ind w:right="600"/>
        <w:jc w:val="right"/>
        <w:textAlignment w:val="baseline"/>
        <w:rPr>
          <w:color w:val="000000"/>
          <w:kern w:val="0"/>
          <w:sz w:val="24"/>
          <w:szCs w:val="24"/>
        </w:rPr>
      </w:pPr>
      <w:r w:rsidRPr="007F7AE7">
        <w:rPr>
          <w:rFonts w:hint="eastAsia"/>
          <w:color w:val="000000"/>
          <w:kern w:val="0"/>
          <w:sz w:val="24"/>
          <w:szCs w:val="24"/>
        </w:rPr>
        <w:t>渤海水业股份有限公司</w:t>
      </w:r>
    </w:p>
    <w:p w14:paraId="712C8360" w14:textId="45359B01" w:rsidR="00C12785" w:rsidRPr="006C2F9D" w:rsidRDefault="00781349">
      <w:pPr>
        <w:autoSpaceDE w:val="0"/>
        <w:autoSpaceDN w:val="0"/>
        <w:spacing w:line="360" w:lineRule="auto"/>
        <w:ind w:right="920"/>
        <w:jc w:val="right"/>
        <w:textAlignment w:val="baseline"/>
        <w:rPr>
          <w:color w:val="000000"/>
          <w:kern w:val="0"/>
          <w:sz w:val="28"/>
          <w:szCs w:val="28"/>
        </w:rPr>
      </w:pPr>
      <w:r w:rsidRPr="007F7AE7">
        <w:rPr>
          <w:rFonts w:hint="eastAsia"/>
          <w:color w:val="000000"/>
          <w:kern w:val="0"/>
          <w:sz w:val="24"/>
          <w:szCs w:val="24"/>
        </w:rPr>
        <w:t>2024</w:t>
      </w:r>
      <w:r w:rsidRPr="007F7AE7">
        <w:rPr>
          <w:rFonts w:hint="eastAsia"/>
          <w:color w:val="000000"/>
          <w:kern w:val="0"/>
          <w:sz w:val="24"/>
          <w:szCs w:val="24"/>
        </w:rPr>
        <w:t>年</w:t>
      </w:r>
      <w:r w:rsidRPr="007F7AE7">
        <w:rPr>
          <w:rFonts w:hint="eastAsia"/>
          <w:color w:val="000000"/>
          <w:kern w:val="0"/>
          <w:sz w:val="24"/>
          <w:szCs w:val="24"/>
        </w:rPr>
        <w:t>4</w:t>
      </w:r>
      <w:r w:rsidRPr="007F7AE7">
        <w:rPr>
          <w:rFonts w:hint="eastAsia"/>
          <w:color w:val="000000"/>
          <w:kern w:val="0"/>
          <w:sz w:val="24"/>
          <w:szCs w:val="24"/>
        </w:rPr>
        <w:t>月</w:t>
      </w:r>
      <w:r w:rsidRPr="007F7AE7">
        <w:rPr>
          <w:color w:val="000000"/>
          <w:kern w:val="0"/>
          <w:sz w:val="24"/>
          <w:szCs w:val="24"/>
        </w:rPr>
        <w:t>29</w:t>
      </w:r>
      <w:r w:rsidR="00862767" w:rsidRPr="007F7AE7">
        <w:rPr>
          <w:rFonts w:hint="eastAsia"/>
          <w:color w:val="000000"/>
          <w:kern w:val="0"/>
          <w:sz w:val="24"/>
          <w:szCs w:val="24"/>
        </w:rPr>
        <w:t>日</w:t>
      </w:r>
    </w:p>
    <w:sectPr w:rsidR="00C12785" w:rsidRPr="006C2F9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DEF153D" w14:textId="77777777" w:rsidR="003664C1" w:rsidRDefault="003664C1" w:rsidP="00507CEA">
      <w:r>
        <w:separator/>
      </w:r>
    </w:p>
  </w:endnote>
  <w:endnote w:type="continuationSeparator" w:id="0">
    <w:p w14:paraId="03A6184C" w14:textId="77777777" w:rsidR="003664C1" w:rsidRDefault="003664C1" w:rsidP="00507C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6639235"/>
      <w:docPartObj>
        <w:docPartGallery w:val="Page Numbers (Bottom of Page)"/>
        <w:docPartUnique/>
      </w:docPartObj>
    </w:sdtPr>
    <w:sdtEndPr/>
    <w:sdtContent>
      <w:p w14:paraId="1F110F25" w14:textId="564535F8" w:rsidR="00507CEA" w:rsidRDefault="00507CEA">
        <w:pPr>
          <w:pStyle w:val="a5"/>
          <w:jc w:val="center"/>
        </w:pPr>
        <w:r>
          <w:fldChar w:fldCharType="begin"/>
        </w:r>
        <w:r>
          <w:instrText>PAGE   \* MERGEFORMAT</w:instrText>
        </w:r>
        <w:r>
          <w:fldChar w:fldCharType="separate"/>
        </w:r>
        <w:r w:rsidR="00824CB6" w:rsidRPr="00824CB6">
          <w:rPr>
            <w:noProof/>
            <w:lang w:val="zh-CN"/>
          </w:rPr>
          <w:t>4</w:t>
        </w:r>
        <w:r>
          <w:fldChar w:fldCharType="end"/>
        </w:r>
      </w:p>
    </w:sdtContent>
  </w:sdt>
  <w:p w14:paraId="777F39C0" w14:textId="77777777" w:rsidR="00507CEA" w:rsidRDefault="00507CEA">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34BC37" w14:textId="77777777" w:rsidR="003664C1" w:rsidRDefault="003664C1" w:rsidP="00507CEA">
      <w:r>
        <w:separator/>
      </w:r>
    </w:p>
  </w:footnote>
  <w:footnote w:type="continuationSeparator" w:id="0">
    <w:p w14:paraId="4FB1D026" w14:textId="77777777" w:rsidR="003664C1" w:rsidRDefault="003664C1" w:rsidP="00507C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81B"/>
    <w:rsid w:val="000247D7"/>
    <w:rsid w:val="00034691"/>
    <w:rsid w:val="0005453D"/>
    <w:rsid w:val="00055A1E"/>
    <w:rsid w:val="0008515B"/>
    <w:rsid w:val="000A1034"/>
    <w:rsid w:val="000A5F1A"/>
    <w:rsid w:val="000B1BDA"/>
    <w:rsid w:val="000C5D2D"/>
    <w:rsid w:val="000C72DC"/>
    <w:rsid w:val="000D7200"/>
    <w:rsid w:val="000E1477"/>
    <w:rsid w:val="000F2FCA"/>
    <w:rsid w:val="00100599"/>
    <w:rsid w:val="00106FDD"/>
    <w:rsid w:val="00126094"/>
    <w:rsid w:val="00126B1C"/>
    <w:rsid w:val="00141B0E"/>
    <w:rsid w:val="001439D0"/>
    <w:rsid w:val="00153D00"/>
    <w:rsid w:val="00164555"/>
    <w:rsid w:val="001929DD"/>
    <w:rsid w:val="001949D4"/>
    <w:rsid w:val="001A02F9"/>
    <w:rsid w:val="001B6F36"/>
    <w:rsid w:val="001D74A0"/>
    <w:rsid w:val="0020206B"/>
    <w:rsid w:val="00260B99"/>
    <w:rsid w:val="00286C19"/>
    <w:rsid w:val="002B3D64"/>
    <w:rsid w:val="002C256A"/>
    <w:rsid w:val="002C431C"/>
    <w:rsid w:val="00333B4B"/>
    <w:rsid w:val="0036302F"/>
    <w:rsid w:val="003664C1"/>
    <w:rsid w:val="00381884"/>
    <w:rsid w:val="003A1BCB"/>
    <w:rsid w:val="003A22DF"/>
    <w:rsid w:val="003B78B0"/>
    <w:rsid w:val="003D2991"/>
    <w:rsid w:val="003D6816"/>
    <w:rsid w:val="003E5A2A"/>
    <w:rsid w:val="00402516"/>
    <w:rsid w:val="00405351"/>
    <w:rsid w:val="00434A58"/>
    <w:rsid w:val="00441481"/>
    <w:rsid w:val="004441EE"/>
    <w:rsid w:val="004477DB"/>
    <w:rsid w:val="00452960"/>
    <w:rsid w:val="004F08AD"/>
    <w:rsid w:val="00507CEA"/>
    <w:rsid w:val="0051588D"/>
    <w:rsid w:val="005330FE"/>
    <w:rsid w:val="005615B6"/>
    <w:rsid w:val="00567C48"/>
    <w:rsid w:val="005A56A5"/>
    <w:rsid w:val="005D42C9"/>
    <w:rsid w:val="0061207C"/>
    <w:rsid w:val="00613F54"/>
    <w:rsid w:val="00633D78"/>
    <w:rsid w:val="00635F28"/>
    <w:rsid w:val="00643EE7"/>
    <w:rsid w:val="00661F80"/>
    <w:rsid w:val="006A0B7F"/>
    <w:rsid w:val="006C2F9D"/>
    <w:rsid w:val="006E4550"/>
    <w:rsid w:val="006F3EBD"/>
    <w:rsid w:val="00705CE4"/>
    <w:rsid w:val="00722A0B"/>
    <w:rsid w:val="00731D80"/>
    <w:rsid w:val="00733654"/>
    <w:rsid w:val="007453D4"/>
    <w:rsid w:val="00773DF0"/>
    <w:rsid w:val="007779D3"/>
    <w:rsid w:val="0078006F"/>
    <w:rsid w:val="00781349"/>
    <w:rsid w:val="00784A80"/>
    <w:rsid w:val="007D14F5"/>
    <w:rsid w:val="007D2553"/>
    <w:rsid w:val="007D3A37"/>
    <w:rsid w:val="007E0FD5"/>
    <w:rsid w:val="007F7AE7"/>
    <w:rsid w:val="0082251B"/>
    <w:rsid w:val="00824CB6"/>
    <w:rsid w:val="00845F5D"/>
    <w:rsid w:val="00862767"/>
    <w:rsid w:val="008728E2"/>
    <w:rsid w:val="00877075"/>
    <w:rsid w:val="00895999"/>
    <w:rsid w:val="00896E36"/>
    <w:rsid w:val="008A5503"/>
    <w:rsid w:val="008C743E"/>
    <w:rsid w:val="008D2938"/>
    <w:rsid w:val="008D7A55"/>
    <w:rsid w:val="008D7DF3"/>
    <w:rsid w:val="00913A0C"/>
    <w:rsid w:val="00924F2F"/>
    <w:rsid w:val="0094119B"/>
    <w:rsid w:val="00980EEF"/>
    <w:rsid w:val="00986F07"/>
    <w:rsid w:val="009A0454"/>
    <w:rsid w:val="009A6436"/>
    <w:rsid w:val="009B14D5"/>
    <w:rsid w:val="009B7EAF"/>
    <w:rsid w:val="009C09B1"/>
    <w:rsid w:val="009C6C17"/>
    <w:rsid w:val="009E7584"/>
    <w:rsid w:val="00A145BC"/>
    <w:rsid w:val="00A41E25"/>
    <w:rsid w:val="00A45CD1"/>
    <w:rsid w:val="00A51709"/>
    <w:rsid w:val="00A541BA"/>
    <w:rsid w:val="00A63448"/>
    <w:rsid w:val="00A80D2D"/>
    <w:rsid w:val="00A91E5C"/>
    <w:rsid w:val="00AC43E7"/>
    <w:rsid w:val="00AD3EEF"/>
    <w:rsid w:val="00AE4B34"/>
    <w:rsid w:val="00B115B8"/>
    <w:rsid w:val="00B2281B"/>
    <w:rsid w:val="00B31DDD"/>
    <w:rsid w:val="00B3593A"/>
    <w:rsid w:val="00B56409"/>
    <w:rsid w:val="00B9091E"/>
    <w:rsid w:val="00BA0320"/>
    <w:rsid w:val="00BB1A27"/>
    <w:rsid w:val="00BB6C79"/>
    <w:rsid w:val="00BC79E1"/>
    <w:rsid w:val="00BF1D12"/>
    <w:rsid w:val="00BF4E6F"/>
    <w:rsid w:val="00C12785"/>
    <w:rsid w:val="00C212E2"/>
    <w:rsid w:val="00C3211F"/>
    <w:rsid w:val="00C6393C"/>
    <w:rsid w:val="00C869A0"/>
    <w:rsid w:val="00CE48B1"/>
    <w:rsid w:val="00D005AE"/>
    <w:rsid w:val="00D01BA5"/>
    <w:rsid w:val="00D16E0A"/>
    <w:rsid w:val="00D17757"/>
    <w:rsid w:val="00D31457"/>
    <w:rsid w:val="00D70E49"/>
    <w:rsid w:val="00D74B3A"/>
    <w:rsid w:val="00D827DA"/>
    <w:rsid w:val="00D8318E"/>
    <w:rsid w:val="00D9112A"/>
    <w:rsid w:val="00DB6DEA"/>
    <w:rsid w:val="00DE2BB3"/>
    <w:rsid w:val="00DE2BF4"/>
    <w:rsid w:val="00DE30B5"/>
    <w:rsid w:val="00DE32CF"/>
    <w:rsid w:val="00DF14FF"/>
    <w:rsid w:val="00E13F38"/>
    <w:rsid w:val="00E24E8C"/>
    <w:rsid w:val="00E26814"/>
    <w:rsid w:val="00E45FAA"/>
    <w:rsid w:val="00E504E9"/>
    <w:rsid w:val="00E74E5B"/>
    <w:rsid w:val="00E83639"/>
    <w:rsid w:val="00EA2E5E"/>
    <w:rsid w:val="00EB3DDB"/>
    <w:rsid w:val="00EB3FFA"/>
    <w:rsid w:val="00EC701C"/>
    <w:rsid w:val="00EE0B9F"/>
    <w:rsid w:val="00EF5AB0"/>
    <w:rsid w:val="00EF62D7"/>
    <w:rsid w:val="00F34E75"/>
    <w:rsid w:val="00F62F1D"/>
    <w:rsid w:val="00F7267D"/>
    <w:rsid w:val="00F7308B"/>
    <w:rsid w:val="00F80F21"/>
    <w:rsid w:val="00FB15B5"/>
    <w:rsid w:val="00FD4F4A"/>
    <w:rsid w:val="00FD7C1F"/>
    <w:rsid w:val="00FE7D58"/>
    <w:rsid w:val="00FF2985"/>
    <w:rsid w:val="7F311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900357"/>
  <w15:docId w15:val="{CC4926CB-49B6-4E1F-9F6D-74F71A2D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修订1"/>
    <w:hidden/>
    <w:uiPriority w:val="99"/>
    <w:semiHidden/>
    <w:rPr>
      <w:rFonts w:ascii="Times New Roman" w:eastAsia="宋体" w:hAnsi="Times New Roman" w:cs="Times New Roman"/>
      <w:kern w:val="2"/>
      <w:sz w:val="21"/>
      <w:szCs w:val="21"/>
    </w:rPr>
  </w:style>
  <w:style w:type="paragraph" w:styleId="a3">
    <w:name w:val="Revision"/>
    <w:hidden/>
    <w:uiPriority w:val="99"/>
    <w:semiHidden/>
    <w:rsid w:val="0020206B"/>
    <w:rPr>
      <w:rFonts w:ascii="Times New Roman" w:eastAsia="宋体" w:hAnsi="Times New Roman" w:cs="Times New Roman"/>
      <w:kern w:val="2"/>
      <w:sz w:val="21"/>
      <w:szCs w:val="21"/>
    </w:rPr>
  </w:style>
  <w:style w:type="paragraph" w:styleId="a4">
    <w:name w:val="header"/>
    <w:basedOn w:val="a"/>
    <w:link w:val="Char"/>
    <w:uiPriority w:val="99"/>
    <w:unhideWhenUsed/>
    <w:rsid w:val="00507C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507CEA"/>
    <w:rPr>
      <w:rFonts w:ascii="Times New Roman" w:eastAsia="宋体" w:hAnsi="Times New Roman" w:cs="Times New Roman"/>
      <w:kern w:val="2"/>
      <w:sz w:val="18"/>
      <w:szCs w:val="18"/>
    </w:rPr>
  </w:style>
  <w:style w:type="paragraph" w:styleId="a5">
    <w:name w:val="footer"/>
    <w:basedOn w:val="a"/>
    <w:link w:val="Char0"/>
    <w:uiPriority w:val="99"/>
    <w:unhideWhenUsed/>
    <w:rsid w:val="00507CEA"/>
    <w:pPr>
      <w:tabs>
        <w:tab w:val="center" w:pos="4153"/>
        <w:tab w:val="right" w:pos="8306"/>
      </w:tabs>
      <w:snapToGrid w:val="0"/>
      <w:jc w:val="left"/>
    </w:pPr>
    <w:rPr>
      <w:sz w:val="18"/>
      <w:szCs w:val="18"/>
    </w:rPr>
  </w:style>
  <w:style w:type="character" w:customStyle="1" w:styleId="Char0">
    <w:name w:val="页脚 Char"/>
    <w:basedOn w:val="a0"/>
    <w:link w:val="a5"/>
    <w:uiPriority w:val="99"/>
    <w:rsid w:val="00507CEA"/>
    <w:rPr>
      <w:rFonts w:ascii="Times New Roman" w:eastAsia="宋体" w:hAnsi="Times New Roman" w:cs="Times New Roman"/>
      <w:kern w:val="2"/>
      <w:sz w:val="18"/>
      <w:szCs w:val="18"/>
    </w:rPr>
  </w:style>
  <w:style w:type="character" w:styleId="a6">
    <w:name w:val="annotation reference"/>
    <w:basedOn w:val="a0"/>
    <w:uiPriority w:val="99"/>
    <w:semiHidden/>
    <w:unhideWhenUsed/>
    <w:rsid w:val="00784A80"/>
    <w:rPr>
      <w:sz w:val="21"/>
      <w:szCs w:val="21"/>
    </w:rPr>
  </w:style>
  <w:style w:type="paragraph" w:styleId="a7">
    <w:name w:val="annotation text"/>
    <w:basedOn w:val="a"/>
    <w:link w:val="Char1"/>
    <w:uiPriority w:val="99"/>
    <w:semiHidden/>
    <w:unhideWhenUsed/>
    <w:rsid w:val="00784A80"/>
    <w:pPr>
      <w:jc w:val="left"/>
    </w:pPr>
  </w:style>
  <w:style w:type="character" w:customStyle="1" w:styleId="Char1">
    <w:name w:val="批注文字 Char"/>
    <w:basedOn w:val="a0"/>
    <w:link w:val="a7"/>
    <w:uiPriority w:val="99"/>
    <w:semiHidden/>
    <w:rsid w:val="00784A80"/>
    <w:rPr>
      <w:rFonts w:ascii="Times New Roman" w:eastAsia="宋体" w:hAnsi="Times New Roman" w:cs="Times New Roman"/>
      <w:kern w:val="2"/>
      <w:sz w:val="21"/>
      <w:szCs w:val="21"/>
    </w:rPr>
  </w:style>
  <w:style w:type="paragraph" w:styleId="a8">
    <w:name w:val="annotation subject"/>
    <w:basedOn w:val="a7"/>
    <w:next w:val="a7"/>
    <w:link w:val="Char2"/>
    <w:uiPriority w:val="99"/>
    <w:semiHidden/>
    <w:unhideWhenUsed/>
    <w:rsid w:val="00784A80"/>
    <w:rPr>
      <w:b/>
      <w:bCs/>
    </w:rPr>
  </w:style>
  <w:style w:type="character" w:customStyle="1" w:styleId="Char2">
    <w:name w:val="批注主题 Char"/>
    <w:basedOn w:val="Char1"/>
    <w:link w:val="a8"/>
    <w:uiPriority w:val="99"/>
    <w:semiHidden/>
    <w:rsid w:val="00784A80"/>
    <w:rPr>
      <w:rFonts w:ascii="Times New Roman" w:eastAsia="宋体" w:hAnsi="Times New Roman" w:cs="Times New Roman"/>
      <w:b/>
      <w:bCs/>
      <w:kern w:val="2"/>
      <w:sz w:val="21"/>
      <w:szCs w:val="21"/>
    </w:rPr>
  </w:style>
  <w:style w:type="paragraph" w:styleId="a9">
    <w:name w:val="Balloon Text"/>
    <w:basedOn w:val="a"/>
    <w:link w:val="Char3"/>
    <w:uiPriority w:val="99"/>
    <w:semiHidden/>
    <w:unhideWhenUsed/>
    <w:rsid w:val="007F7AE7"/>
    <w:rPr>
      <w:sz w:val="18"/>
      <w:szCs w:val="18"/>
    </w:rPr>
  </w:style>
  <w:style w:type="character" w:customStyle="1" w:styleId="Char3">
    <w:name w:val="批注框文本 Char"/>
    <w:basedOn w:val="a0"/>
    <w:link w:val="a9"/>
    <w:uiPriority w:val="99"/>
    <w:semiHidden/>
    <w:rsid w:val="007F7AE7"/>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187821-B896-4D9C-BB36-3E33C24130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423</Words>
  <Characters>2417</Characters>
  <Application>Microsoft Office Word</Application>
  <DocSecurity>0</DocSecurity>
  <Lines>20</Lines>
  <Paragraphs>5</Paragraphs>
  <ScaleCrop>false</ScaleCrop>
  <Company/>
  <LinksUpToDate>false</LinksUpToDate>
  <CharactersWithSpaces>2835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周昱</dc:creator>
  <cp:lastModifiedBy>王梓</cp:lastModifiedBy>
  <cp:revision>9</cp:revision>
  <cp:lastPrinted>2024-04-18T06:51:00Z</cp:lastPrinted>
  <dcterms:created xsi:type="dcterms:W3CDTF">2024-04-19T02:40:00Z</dcterms:created>
  <dcterms:modified xsi:type="dcterms:W3CDTF">2024-04-29T00:56:00Z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ies>
</file>