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ABF36" w14:textId="29E8C5F6" w:rsidR="006B75B2" w:rsidRPr="006B75B2" w:rsidRDefault="006B75B2" w:rsidP="006B75B2">
      <w:pPr>
        <w:spacing w:after="1000"/>
        <w:jc w:val="center"/>
        <w:rPr>
          <w:rFonts w:ascii="Times New Roman" w:eastAsia="宋体" w:hAnsi="Times New Roman" w:cs="宋体"/>
          <w:szCs w:val="21"/>
        </w:rPr>
      </w:pPr>
      <w:r w:rsidRPr="006B75B2">
        <w:rPr>
          <w:rFonts w:ascii="Times New Roman" w:eastAsia="宋体" w:hAnsi="Times New Roman" w:cs="宋体" w:hint="eastAsia"/>
          <w:szCs w:val="21"/>
        </w:rPr>
        <w:t>证券代码：</w:t>
      </w:r>
      <w:r w:rsidRPr="006B75B2">
        <w:rPr>
          <w:rFonts w:ascii="Times New Roman" w:eastAsia="宋体" w:hAnsi="Times New Roman" w:cs="宋体"/>
          <w:szCs w:val="21"/>
        </w:rPr>
        <w:t>000605</w:t>
      </w:r>
      <w:r w:rsidRPr="006B75B2">
        <w:rPr>
          <w:rFonts w:ascii="Times New Roman" w:eastAsia="宋体" w:hAnsi="Times New Roman" w:cs="宋体" w:hint="eastAsia"/>
          <w:szCs w:val="21"/>
        </w:rPr>
        <w:t xml:space="preserve">     </w:t>
      </w:r>
      <w:r>
        <w:rPr>
          <w:rFonts w:ascii="Times New Roman" w:eastAsia="宋体" w:hAnsi="Times New Roman" w:cs="宋体" w:hint="eastAsia"/>
          <w:szCs w:val="21"/>
        </w:rPr>
        <w:t xml:space="preserve">     </w:t>
      </w:r>
      <w:r w:rsidRPr="006B75B2">
        <w:rPr>
          <w:rFonts w:ascii="Times New Roman" w:eastAsia="宋体" w:hAnsi="Times New Roman" w:cs="宋体" w:hint="eastAsia"/>
          <w:szCs w:val="21"/>
        </w:rPr>
        <w:t xml:space="preserve"> </w:t>
      </w:r>
      <w:r>
        <w:rPr>
          <w:rFonts w:ascii="Times New Roman" w:eastAsia="宋体" w:hAnsi="Times New Roman" w:cs="宋体" w:hint="eastAsia"/>
          <w:szCs w:val="21"/>
        </w:rPr>
        <w:t xml:space="preserve">  </w:t>
      </w:r>
      <w:r w:rsidR="00E80999">
        <w:rPr>
          <w:rFonts w:ascii="Times New Roman" w:eastAsia="宋体" w:hAnsi="Times New Roman" w:cs="宋体" w:hint="eastAsia"/>
          <w:szCs w:val="21"/>
        </w:rPr>
        <w:t xml:space="preserve">     </w:t>
      </w:r>
      <w:r>
        <w:rPr>
          <w:rFonts w:ascii="Times New Roman" w:eastAsia="宋体" w:hAnsi="Times New Roman" w:cs="宋体" w:hint="eastAsia"/>
          <w:szCs w:val="21"/>
        </w:rPr>
        <w:t xml:space="preserve">              </w:t>
      </w:r>
      <w:r w:rsidRPr="006B75B2">
        <w:rPr>
          <w:rFonts w:ascii="Times New Roman" w:eastAsia="宋体" w:hAnsi="Times New Roman" w:cs="宋体" w:hint="eastAsia"/>
          <w:szCs w:val="21"/>
        </w:rPr>
        <w:t xml:space="preserve">   </w:t>
      </w:r>
      <w:r w:rsidRPr="006B75B2">
        <w:rPr>
          <w:rFonts w:ascii="Times New Roman" w:eastAsia="宋体" w:hAnsi="Times New Roman" w:cs="宋体" w:hint="eastAsia"/>
          <w:szCs w:val="21"/>
        </w:rPr>
        <w:t>证券简称：渤海股份</w:t>
      </w:r>
      <w:r>
        <w:rPr>
          <w:rFonts w:ascii="Times New Roman" w:eastAsia="宋体" w:hAnsi="Times New Roman" w:cs="宋体" w:hint="eastAsia"/>
          <w:szCs w:val="21"/>
        </w:rPr>
        <w:t xml:space="preserve">   </w:t>
      </w:r>
      <w:r w:rsidRPr="006B75B2">
        <w:rPr>
          <w:rFonts w:ascii="Times New Roman" w:eastAsia="宋体" w:hAnsi="Times New Roman" w:cs="宋体" w:hint="eastAsia"/>
          <w:szCs w:val="21"/>
        </w:rPr>
        <w:t xml:space="preserve">    </w:t>
      </w:r>
      <w:r>
        <w:rPr>
          <w:rFonts w:ascii="Times New Roman" w:eastAsia="宋体" w:hAnsi="Times New Roman" w:cs="宋体" w:hint="eastAsia"/>
          <w:szCs w:val="21"/>
        </w:rPr>
        <w:t xml:space="preserve">           </w:t>
      </w:r>
      <w:r w:rsidR="00E80999">
        <w:rPr>
          <w:rFonts w:ascii="Times New Roman" w:eastAsia="宋体" w:hAnsi="Times New Roman" w:cs="宋体" w:hint="eastAsia"/>
          <w:szCs w:val="21"/>
        </w:rPr>
        <w:t xml:space="preserve">     </w:t>
      </w:r>
      <w:r>
        <w:rPr>
          <w:rFonts w:ascii="Times New Roman" w:eastAsia="宋体" w:hAnsi="Times New Roman" w:cs="宋体" w:hint="eastAsia"/>
          <w:szCs w:val="21"/>
        </w:rPr>
        <w:t xml:space="preserve">         </w:t>
      </w:r>
      <w:r w:rsidRPr="006B75B2">
        <w:rPr>
          <w:rFonts w:ascii="Times New Roman" w:eastAsia="宋体" w:hAnsi="Times New Roman" w:cs="宋体" w:hint="eastAsia"/>
          <w:szCs w:val="21"/>
        </w:rPr>
        <w:t xml:space="preserve">   </w:t>
      </w:r>
      <w:r w:rsidRPr="006B75B2">
        <w:rPr>
          <w:rFonts w:ascii="Times New Roman" w:eastAsia="宋体" w:hAnsi="Times New Roman" w:cs="宋体" w:hint="eastAsia"/>
          <w:szCs w:val="21"/>
        </w:rPr>
        <w:t>公告编号：</w:t>
      </w:r>
      <w:r w:rsidRPr="006B75B2">
        <w:rPr>
          <w:rFonts w:ascii="Times New Roman" w:eastAsia="宋体" w:hAnsi="Times New Roman" w:cs="宋体"/>
          <w:szCs w:val="21"/>
        </w:rPr>
        <w:t>2024-04</w:t>
      </w:r>
      <w:r w:rsidR="00E80999">
        <w:rPr>
          <w:rFonts w:ascii="Times New Roman" w:eastAsia="宋体" w:hAnsi="Times New Roman" w:cs="宋体" w:hint="eastAsia"/>
          <w:szCs w:val="21"/>
        </w:rPr>
        <w:t>9</w:t>
      </w:r>
    </w:p>
    <w:p w14:paraId="52F2141A" w14:textId="77777777" w:rsidR="003D2572" w:rsidRDefault="00000000" w:rsidP="003D2572">
      <w:pPr>
        <w:spacing w:after="1000" w:line="400" w:lineRule="exact"/>
        <w:jc w:val="center"/>
        <w:rPr>
          <w:rFonts w:ascii="Times New Roman" w:eastAsia="宋体" w:hAnsi="Times New Roman" w:cs="宋体"/>
          <w:b/>
          <w:bCs/>
          <w:sz w:val="36"/>
          <w:szCs w:val="36"/>
        </w:rPr>
      </w:pPr>
      <w:r w:rsidRPr="003D2572">
        <w:rPr>
          <w:rFonts w:ascii="Times New Roman" w:eastAsia="宋体" w:hAnsi="Times New Roman" w:cs="宋体"/>
          <w:b/>
          <w:bCs/>
          <w:sz w:val="36"/>
          <w:szCs w:val="36"/>
        </w:rPr>
        <w:t>渤海水业股份有限公司</w:t>
      </w:r>
      <w:r w:rsidRPr="003D2572">
        <w:rPr>
          <w:rFonts w:ascii="Times New Roman" w:eastAsia="宋体" w:hAnsi="Times New Roman" w:cs="宋体"/>
          <w:b/>
          <w:bCs/>
          <w:sz w:val="36"/>
          <w:szCs w:val="36"/>
        </w:rPr>
        <w:t>2024</w:t>
      </w:r>
      <w:r w:rsidRPr="003D2572">
        <w:rPr>
          <w:rFonts w:ascii="Times New Roman" w:eastAsia="宋体" w:hAnsi="Times New Roman" w:cs="宋体"/>
          <w:b/>
          <w:bCs/>
          <w:sz w:val="36"/>
          <w:szCs w:val="36"/>
        </w:rPr>
        <w:t>年半年度报告摘要</w:t>
      </w:r>
    </w:p>
    <w:p w14:paraId="06DD609C" w14:textId="77777777" w:rsidR="000D1347" w:rsidRPr="003D2572" w:rsidRDefault="00000000">
      <w:pPr>
        <w:pStyle w:val="2"/>
        <w:spacing w:before="300" w:after="300" w:line="320" w:lineRule="exact"/>
        <w:rPr>
          <w:rFonts w:ascii="Times New Roman" w:eastAsia="宋体" w:hAnsi="Times New Roman" w:cs="宋体"/>
          <w:b/>
          <w:bCs/>
          <w:sz w:val="24"/>
          <w:szCs w:val="24"/>
        </w:rPr>
      </w:pPr>
      <w:bookmarkStart w:id="0" w:name="_Toc988889"/>
      <w:r w:rsidRPr="003D2572">
        <w:rPr>
          <w:rFonts w:ascii="Times New Roman" w:eastAsia="宋体" w:hAnsi="Times New Roman" w:cs="宋体"/>
          <w:b/>
          <w:bCs/>
          <w:sz w:val="24"/>
          <w:szCs w:val="24"/>
        </w:rPr>
        <w:t>一、重要提示</w:t>
      </w:r>
      <w:bookmarkEnd w:id="0"/>
    </w:p>
    <w:p w14:paraId="75D0065A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本半年度报告摘要来自半年度报告全文，为全面了解本公司的经营成果、财务状况及未来发展规划，投资者应当到证监会指定媒体仔细阅读半年度报告全文。</w:t>
      </w:r>
    </w:p>
    <w:p w14:paraId="4890A80D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所有董事均已出席了审议本报告的董事会会议。</w:t>
      </w:r>
    </w:p>
    <w:p w14:paraId="708BD037" w14:textId="77777777" w:rsidR="000D1347" w:rsidRPr="003D2572" w:rsidRDefault="00000000">
      <w:pPr>
        <w:spacing w:before="100" w:after="10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非标准审计意见提示</w:t>
      </w:r>
    </w:p>
    <w:p w14:paraId="3EBFB17C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5B08C447" w14:textId="77777777" w:rsidR="000D1347" w:rsidRPr="003D2572" w:rsidRDefault="00000000">
      <w:pPr>
        <w:spacing w:before="10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董事会审议的报告期利润分配预案或公积金转增股本预案</w:t>
      </w:r>
    </w:p>
    <w:p w14:paraId="7A5EB6A6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1E91FCDC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公司计划不派发现金红利，不送红股，不以公积金转增股本。</w:t>
      </w:r>
    </w:p>
    <w:p w14:paraId="619E55D1" w14:textId="77777777" w:rsidR="000D1347" w:rsidRPr="003D2572" w:rsidRDefault="00000000">
      <w:pPr>
        <w:spacing w:before="100" w:after="10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董事会决议通过的本报告期优先股利润分配预案</w:t>
      </w:r>
    </w:p>
    <w:p w14:paraId="124F2139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00BA4993" w14:textId="77777777" w:rsidR="000D1347" w:rsidRPr="003D2572" w:rsidRDefault="00000000">
      <w:pPr>
        <w:pStyle w:val="2"/>
        <w:spacing w:before="300" w:after="300" w:line="320" w:lineRule="exact"/>
        <w:rPr>
          <w:rFonts w:ascii="Times New Roman" w:eastAsia="宋体" w:hAnsi="Times New Roman" w:cs="宋体"/>
          <w:b/>
          <w:bCs/>
          <w:sz w:val="24"/>
          <w:szCs w:val="24"/>
        </w:rPr>
      </w:pPr>
      <w:bookmarkStart w:id="1" w:name="_Toc988890"/>
      <w:r w:rsidRPr="003D2572">
        <w:rPr>
          <w:rFonts w:ascii="Times New Roman" w:eastAsia="宋体" w:hAnsi="Times New Roman" w:cs="宋体"/>
          <w:b/>
          <w:bCs/>
          <w:sz w:val="24"/>
          <w:szCs w:val="24"/>
        </w:rPr>
        <w:t>二、公司基本情况</w:t>
      </w:r>
      <w:bookmarkEnd w:id="1"/>
    </w:p>
    <w:p w14:paraId="05A532EB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2" w:name="_Toc988891"/>
      <w:r w:rsidRPr="003D2572">
        <w:rPr>
          <w:rFonts w:ascii="Times New Roman" w:hAnsi="Times New Roman" w:cs="宋体"/>
          <w:b/>
          <w:bCs/>
        </w:rPr>
        <w:t>1</w:t>
      </w:r>
      <w:r w:rsidRPr="003D2572">
        <w:rPr>
          <w:rFonts w:ascii="Times New Roman" w:hAnsi="Times New Roman" w:cs="宋体"/>
          <w:b/>
          <w:bCs/>
        </w:rPr>
        <w:t>、公司简介</w:t>
      </w:r>
      <w:bookmarkEnd w:id="2"/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3"/>
        <w:gridCol w:w="2142"/>
        <w:gridCol w:w="1071"/>
        <w:gridCol w:w="1071"/>
        <w:gridCol w:w="2142"/>
      </w:tblGrid>
      <w:tr w:rsidR="000D1347" w:rsidRPr="003D2572" w14:paraId="4E75ABAF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2D9F22C9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股票简称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064DF2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渤海股份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5E91E10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股票代码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32FF36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000605</w:t>
            </w:r>
          </w:p>
        </w:tc>
      </w:tr>
      <w:tr w:rsidR="000D1347" w:rsidRPr="003D2572" w14:paraId="114CA8BF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13483616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股票上市交易所</w:t>
            </w:r>
          </w:p>
        </w:tc>
        <w:tc>
          <w:tcPr>
            <w:tcW w:w="642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4FB7D7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深圳证券交易所</w:t>
            </w:r>
          </w:p>
        </w:tc>
      </w:tr>
      <w:tr w:rsidR="000D1347" w:rsidRPr="003D2572" w14:paraId="6EE0DC2A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4F2619B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联系人和联系方式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21975652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董事会秘书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5D7478E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证券事务代表</w:t>
            </w:r>
          </w:p>
        </w:tc>
      </w:tr>
      <w:tr w:rsidR="000D1347" w:rsidRPr="003D2572" w14:paraId="71250981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36B1F55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姓名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9DE541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李新霞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70E599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刘杨</w:t>
            </w:r>
          </w:p>
        </w:tc>
      </w:tr>
      <w:tr w:rsidR="000D1347" w:rsidRPr="003D2572" w14:paraId="06C336C9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4EA7B6C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办公地址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8DA4E5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北京顺义区南法信镇机场北街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8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号院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幢航港国际大厦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9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层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902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FBA3AF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北京顺义区南法信镇机场北街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8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号院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幢航港国际大厦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9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层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902</w:t>
            </w:r>
          </w:p>
        </w:tc>
      </w:tr>
      <w:tr w:rsidR="000D1347" w:rsidRPr="003D2572" w14:paraId="62584A8F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A197811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电话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FDCC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010-89586598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646A8B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010-89586598</w:t>
            </w:r>
          </w:p>
        </w:tc>
      </w:tr>
      <w:tr w:rsidR="000D1347" w:rsidRPr="003D2572" w14:paraId="3EB92243" w14:textId="77777777">
        <w:trPr>
          <w:trHeight w:val="240"/>
        </w:trPr>
        <w:tc>
          <w:tcPr>
            <w:tcW w:w="32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03137B9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电子信箱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33A40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dongmi@bohai-water.com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276E23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dongmi@bohai-water.com</w:t>
            </w:r>
          </w:p>
        </w:tc>
      </w:tr>
    </w:tbl>
    <w:p w14:paraId="5F642D65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3" w:name="_Toc988892"/>
      <w:r w:rsidRPr="003D2572">
        <w:rPr>
          <w:rFonts w:ascii="Times New Roman" w:hAnsi="Times New Roman" w:cs="宋体"/>
          <w:b/>
          <w:bCs/>
        </w:rPr>
        <w:t>2</w:t>
      </w:r>
      <w:r w:rsidRPr="003D2572">
        <w:rPr>
          <w:rFonts w:ascii="Times New Roman" w:hAnsi="Times New Roman" w:cs="宋体"/>
          <w:b/>
          <w:bCs/>
        </w:rPr>
        <w:t>、主要会计数据和财务指标</w:t>
      </w:r>
      <w:bookmarkEnd w:id="3"/>
    </w:p>
    <w:p w14:paraId="212E595B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公司是否需追溯调整或重述以前年度会计数据</w:t>
      </w:r>
    </w:p>
    <w:p w14:paraId="0A26AD7C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是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否</w:t>
      </w:r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55"/>
        <w:gridCol w:w="1928"/>
        <w:gridCol w:w="1928"/>
        <w:gridCol w:w="1928"/>
      </w:tblGrid>
      <w:tr w:rsidR="000D1347" w:rsidRPr="003D2572" w14:paraId="63A22A67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8DA3515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6332199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本报告期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629CC28C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上年同期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2E05824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本报告期比上年同期增减</w:t>
            </w:r>
          </w:p>
        </w:tc>
      </w:tr>
      <w:tr w:rsidR="000D1347" w:rsidRPr="003D2572" w14:paraId="7EE49B0E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5F419CA4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营业收入（元）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316A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921,925,359.47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28945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884,385,445.73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CF3302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4.24%</w:t>
            </w:r>
          </w:p>
        </w:tc>
      </w:tr>
      <w:tr w:rsidR="000D1347" w:rsidRPr="003D2572" w14:paraId="38B6E28E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231D654B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归属于上市公司股东的净利润（元）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C3B5C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16,335,573.19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4226539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12,013,920.61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91F6D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35.97%</w:t>
            </w:r>
          </w:p>
        </w:tc>
      </w:tr>
      <w:tr w:rsidR="000D1347" w:rsidRPr="003D2572" w14:paraId="74192396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5B1E3C9F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归属于上市公司股东的扣除非经常性损益的净利润（元）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08943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10,613,549.63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2A4CB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8,251,328.02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CD8FF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28.63%</w:t>
            </w:r>
          </w:p>
        </w:tc>
      </w:tr>
      <w:tr w:rsidR="000D1347" w:rsidRPr="003D2572" w14:paraId="47EE78E9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377336C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经营活动产生的现金流量净额（元）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FC688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19,486,458.93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423EDD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16,196,156.73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724C85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20.32%</w:t>
            </w:r>
          </w:p>
        </w:tc>
      </w:tr>
      <w:tr w:rsidR="000D1347" w:rsidRPr="003D2572" w14:paraId="1872731F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22A16062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基本每股收益（元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/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FB4BFF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0.0463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9F388B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0.0341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493491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35.78%</w:t>
            </w:r>
          </w:p>
        </w:tc>
      </w:tr>
      <w:tr w:rsidR="000D1347" w:rsidRPr="003D2572" w14:paraId="0F120FD7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9B73AEF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稀释每股收益（元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/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5CD86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0.0463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627A7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0.0341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8C1BC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35.78%</w:t>
            </w:r>
          </w:p>
        </w:tc>
      </w:tr>
      <w:tr w:rsidR="000D1347" w:rsidRPr="003D2572" w14:paraId="419E60B3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2F6524B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lastRenderedPageBreak/>
              <w:t>加权平均净资产收益率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BFE102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0.77%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27FACC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0.57%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CD1B5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0.20%</w:t>
            </w:r>
          </w:p>
        </w:tc>
      </w:tr>
      <w:tr w:rsidR="000D1347" w:rsidRPr="003D2572" w14:paraId="348F7158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3F07E2D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6C258BAA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本报告期末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76BFAC1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上年度末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47FC404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本报告期末比上年度末增减</w:t>
            </w:r>
          </w:p>
        </w:tc>
      </w:tr>
      <w:tr w:rsidR="000D1347" w:rsidRPr="003D2572" w14:paraId="13D926B2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DFC1707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总资产（元）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0C747C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8,058,210,561.79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DD862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7,986,057,318.47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70361F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0.90%</w:t>
            </w:r>
          </w:p>
        </w:tc>
      </w:tr>
      <w:tr w:rsidR="000D1347" w:rsidRPr="003D2572" w14:paraId="43887219" w14:textId="77777777">
        <w:trPr>
          <w:trHeight w:val="240"/>
        </w:trPr>
        <w:tc>
          <w:tcPr>
            <w:tcW w:w="38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CAE2F91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归属于上市公司股东的净资产（元）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638A4C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2,131,635,983.17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BD3710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2,115,300,409.98</w:t>
            </w:r>
          </w:p>
        </w:tc>
        <w:tc>
          <w:tcPr>
            <w:tcW w:w="19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F63628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0.77%</w:t>
            </w:r>
          </w:p>
        </w:tc>
      </w:tr>
    </w:tbl>
    <w:p w14:paraId="648E138E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4" w:name="_Toc988893"/>
      <w:r w:rsidRPr="003D2572">
        <w:rPr>
          <w:rFonts w:ascii="Times New Roman" w:hAnsi="Times New Roman" w:cs="宋体"/>
          <w:b/>
          <w:bCs/>
        </w:rPr>
        <w:t>3</w:t>
      </w:r>
      <w:r w:rsidRPr="003D2572">
        <w:rPr>
          <w:rFonts w:ascii="Times New Roman" w:hAnsi="Times New Roman" w:cs="宋体"/>
          <w:b/>
          <w:bCs/>
        </w:rPr>
        <w:t>、公司股东数量及持股情况</w:t>
      </w:r>
      <w:bookmarkEnd w:id="4"/>
    </w:p>
    <w:p w14:paraId="39910CB2" w14:textId="77777777" w:rsidR="000D1347" w:rsidRPr="003D2572" w:rsidRDefault="00000000">
      <w:pPr>
        <w:spacing w:before="120" w:after="120" w:line="240" w:lineRule="exact"/>
        <w:jc w:val="righ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单位：股</w:t>
      </w:r>
    </w:p>
    <w:tbl>
      <w:tblPr>
        <w:tblW w:w="9639" w:type="dxa"/>
        <w:tblInd w:w="108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1"/>
        <w:gridCol w:w="1071"/>
        <w:gridCol w:w="1071"/>
        <w:gridCol w:w="1071"/>
        <w:gridCol w:w="1071"/>
        <w:gridCol w:w="2142"/>
        <w:gridCol w:w="1071"/>
        <w:gridCol w:w="1071"/>
      </w:tblGrid>
      <w:tr w:rsidR="000D1347" w:rsidRPr="003D2572" w14:paraId="30ABB395" w14:textId="77777777">
        <w:trPr>
          <w:trHeight w:val="240"/>
        </w:trPr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CA0E7E7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报告期末普通股股东总数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ED373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18,672</w:t>
            </w:r>
          </w:p>
        </w:tc>
        <w:tc>
          <w:tcPr>
            <w:tcW w:w="321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E6C694A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报告期末表决权恢复的优先股股东总数（如有）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00FFEB7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366FE1D6" w14:textId="77777777">
        <w:trPr>
          <w:trHeight w:val="240"/>
        </w:trPr>
        <w:tc>
          <w:tcPr>
            <w:tcW w:w="9639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61533C5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前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10</w:t>
            </w: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名股东持股情况（不含通过转融通出借股份）</w:t>
            </w:r>
          </w:p>
        </w:tc>
      </w:tr>
      <w:tr w:rsidR="000D1347" w:rsidRPr="003D2572" w14:paraId="527BF7A1" w14:textId="77777777">
        <w:trPr>
          <w:trHeight w:val="240"/>
        </w:trPr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D379D57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股东名称</w:t>
            </w:r>
          </w:p>
        </w:tc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599C0133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股东性质</w:t>
            </w:r>
          </w:p>
        </w:tc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50E6DF43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持股比例</w:t>
            </w:r>
          </w:p>
        </w:tc>
        <w:tc>
          <w:tcPr>
            <w:tcW w:w="21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40FF018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持股数量</w:t>
            </w:r>
          </w:p>
        </w:tc>
        <w:tc>
          <w:tcPr>
            <w:tcW w:w="214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27AB1FF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持有有限售条件的股份数量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280B3EFB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质押、标记或冻结情况</w:t>
            </w:r>
          </w:p>
        </w:tc>
      </w:tr>
      <w:tr w:rsidR="000D1347" w:rsidRPr="003D2572" w14:paraId="0ADD96AA" w14:textId="77777777">
        <w:trPr>
          <w:trHeight w:val="240"/>
        </w:trPr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78D7AA29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4A7DC76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6C14E32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14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30E197E7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2142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598D342F" w14:textId="77777777" w:rsidR="000D1347" w:rsidRPr="003D2572" w:rsidRDefault="000D1347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1917E2EB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股份状态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468FDCE" w14:textId="77777777" w:rsidR="000D1347" w:rsidRPr="003D2572" w:rsidRDefault="00000000">
            <w:pPr>
              <w:spacing w:before="40" w:after="40" w:line="240" w:lineRule="exact"/>
              <w:jc w:val="center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数量</w:t>
            </w:r>
          </w:p>
        </w:tc>
      </w:tr>
      <w:tr w:rsidR="000D1347" w:rsidRPr="003D2572" w14:paraId="7F70FBC1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E9AE87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天津兴津企业管理有限公司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D968C8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957E5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22.46%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1BFC70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79,200,321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B016B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63ABD8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436A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7A355F1F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771493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天津水务集团有限公司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5D0FCF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34722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13.01%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0D43D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45,868,731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FCBD2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6B0CC9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D6382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0B9E86FF" w14:textId="77777777">
        <w:trPr>
          <w:trHeight w:val="240"/>
        </w:trPr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8F2D7B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李华青</w:t>
            </w:r>
          </w:p>
        </w:tc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D0C663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境内自然人</w:t>
            </w:r>
          </w:p>
        </w:tc>
        <w:tc>
          <w:tcPr>
            <w:tcW w:w="10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57A3CD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5.68%</w:t>
            </w:r>
          </w:p>
        </w:tc>
        <w:tc>
          <w:tcPr>
            <w:tcW w:w="21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33AF29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  <w:tc>
          <w:tcPr>
            <w:tcW w:w="214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D3A0D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CF50EC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质押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603358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</w:tr>
      <w:tr w:rsidR="000D1347" w:rsidRPr="003D2572" w14:paraId="66A65C72" w14:textId="77777777">
        <w:trPr>
          <w:trHeight w:val="240"/>
        </w:trPr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AD97D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李华青</w:t>
            </w:r>
          </w:p>
        </w:tc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A5E2BA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境内自然人</w:t>
            </w:r>
          </w:p>
        </w:tc>
        <w:tc>
          <w:tcPr>
            <w:tcW w:w="10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F7BD1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5.68%</w:t>
            </w:r>
          </w:p>
        </w:tc>
        <w:tc>
          <w:tcPr>
            <w:tcW w:w="2142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1D9B5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  <w:tc>
          <w:tcPr>
            <w:tcW w:w="2142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DDCBE7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E4084D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冻结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1F525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20,019,883</w:t>
            </w:r>
          </w:p>
        </w:tc>
      </w:tr>
      <w:tr w:rsidR="000D1347" w:rsidRPr="003D2572" w14:paraId="637ED53D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356BE4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天津市水利经济管理办公室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78C192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A703A2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4.82%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4358F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16,990,862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B899A0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EA7B2C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841DF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0DD049A4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C761B3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石家庄合力投资咨询中心（有限合伙）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FBD004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境内非国有法人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6807EF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1.83%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055DE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6,444,444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F026FB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1450A3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冻结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6654C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6,444,444</w:t>
            </w:r>
          </w:p>
        </w:tc>
      </w:tr>
      <w:tr w:rsidR="000D1347" w:rsidRPr="003D2572" w14:paraId="531F3040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A5D426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北京宏儒和愉投资管理有限公司－苏州弘德源投资管理中心（有限合伙）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C878CB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其他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CEC60F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1.06%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0FDC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3,740,800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6463FB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5C5FDC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D6664C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496FECF3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8ADB64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吴军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0F8ADB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境内自然人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4ED364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0.59%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108962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2,078,000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73373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9FED1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51567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3B9AEE39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E2039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中国民生银行股份有限公司－金元顺安元启灵活配置混合型证券投资基金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AF8A9F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其他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65D167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0.54%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1F158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1,918,000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892C2A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701E8C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50D22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0711C6E3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B1C232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翟育豹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73C89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境内自然人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E21256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0.49%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E60E70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1,715,800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C4A41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D72805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272DB7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08FF3337" w14:textId="77777777">
        <w:trPr>
          <w:trHeight w:val="240"/>
        </w:trPr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079A40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倪望龙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B57466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境内自然人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3F3D28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0.48%</w:t>
            </w:r>
          </w:p>
        </w:tc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19E1AC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1,695,780</w:t>
            </w:r>
          </w:p>
        </w:tc>
        <w:tc>
          <w:tcPr>
            <w:tcW w:w="21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F381E3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CACBC9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F8D48E" w14:textId="77777777" w:rsidR="000D1347" w:rsidRPr="003D2572" w:rsidRDefault="00000000">
            <w:pPr>
              <w:spacing w:line="240" w:lineRule="exact"/>
              <w:jc w:val="righ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0</w:t>
            </w:r>
          </w:p>
        </w:tc>
      </w:tr>
      <w:tr w:rsidR="000D1347" w:rsidRPr="003D2572" w14:paraId="1A5D2DEE" w14:textId="77777777">
        <w:trPr>
          <w:trHeight w:val="240"/>
        </w:trPr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415C808C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上述股东关联关系或一致行动的说明</w:t>
            </w:r>
          </w:p>
        </w:tc>
        <w:tc>
          <w:tcPr>
            <w:tcW w:w="749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BC6436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兴津公司与水务集团为一致行动人，与其他股东不属于一致行动人。李华青与石家庄合力为一致行动人，与其他股东不属于一致行动人。本公司未知其他股东之间是否存在关联关系，也未知其他股东是否属于一致行动人。</w:t>
            </w:r>
          </w:p>
        </w:tc>
      </w:tr>
      <w:tr w:rsidR="000D1347" w:rsidRPr="003D2572" w14:paraId="68179F37" w14:textId="77777777">
        <w:trPr>
          <w:trHeight w:val="240"/>
        </w:trPr>
        <w:tc>
          <w:tcPr>
            <w:tcW w:w="2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3D3D3"/>
            <w:vAlign w:val="center"/>
          </w:tcPr>
          <w:p w14:paraId="03B7D3CA" w14:textId="77777777" w:rsidR="000D1347" w:rsidRPr="003D2572" w:rsidRDefault="00000000">
            <w:pPr>
              <w:spacing w:before="40" w:after="40"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lastRenderedPageBreak/>
              <w:t>参与融资融券业务股东情况说明（如有）</w:t>
            </w:r>
          </w:p>
        </w:tc>
        <w:tc>
          <w:tcPr>
            <w:tcW w:w="7497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449512" w14:textId="77777777" w:rsidR="000D1347" w:rsidRPr="003D2572" w:rsidRDefault="00000000">
            <w:pPr>
              <w:spacing w:line="240" w:lineRule="exact"/>
              <w:rPr>
                <w:rFonts w:ascii="Times New Roman" w:eastAsia="宋体" w:hAnsi="Times New Roman" w:cs="宋体"/>
                <w:sz w:val="18"/>
                <w:szCs w:val="18"/>
              </w:rPr>
            </w:pPr>
            <w:r w:rsidRPr="003D2572">
              <w:rPr>
                <w:rFonts w:ascii="Times New Roman" w:eastAsia="宋体" w:hAnsi="Times New Roman" w:cs="宋体"/>
                <w:sz w:val="18"/>
                <w:szCs w:val="18"/>
              </w:rPr>
              <w:t>无</w:t>
            </w:r>
          </w:p>
        </w:tc>
      </w:tr>
    </w:tbl>
    <w:p w14:paraId="6D43EC5A" w14:textId="77777777" w:rsidR="000D1347" w:rsidRPr="003D2572" w:rsidRDefault="00000000">
      <w:pPr>
        <w:spacing w:before="100" w:after="10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持股</w:t>
      </w:r>
      <w:r w:rsidRPr="003D2572">
        <w:rPr>
          <w:rFonts w:ascii="Times New Roman" w:eastAsia="宋体" w:hAnsi="Times New Roman" w:cs="宋体"/>
          <w:sz w:val="18"/>
          <w:szCs w:val="18"/>
        </w:rPr>
        <w:t>5%</w:t>
      </w:r>
      <w:r w:rsidRPr="003D2572">
        <w:rPr>
          <w:rFonts w:ascii="Times New Roman" w:eastAsia="宋体" w:hAnsi="Times New Roman" w:cs="宋体"/>
          <w:sz w:val="18"/>
          <w:szCs w:val="18"/>
        </w:rPr>
        <w:t>以上股东、前</w:t>
      </w:r>
      <w:r w:rsidRPr="003D2572">
        <w:rPr>
          <w:rFonts w:ascii="Times New Roman" w:eastAsia="宋体" w:hAnsi="Times New Roman" w:cs="宋体"/>
          <w:sz w:val="18"/>
          <w:szCs w:val="18"/>
        </w:rPr>
        <w:t>10</w:t>
      </w:r>
      <w:r w:rsidRPr="003D2572">
        <w:rPr>
          <w:rFonts w:ascii="Times New Roman" w:eastAsia="宋体" w:hAnsi="Times New Roman" w:cs="宋体"/>
          <w:sz w:val="18"/>
          <w:szCs w:val="18"/>
        </w:rPr>
        <w:t>名股东及前</w:t>
      </w:r>
      <w:r w:rsidRPr="003D2572">
        <w:rPr>
          <w:rFonts w:ascii="Times New Roman" w:eastAsia="宋体" w:hAnsi="Times New Roman" w:cs="宋体"/>
          <w:sz w:val="18"/>
          <w:szCs w:val="18"/>
        </w:rPr>
        <w:t>10</w:t>
      </w:r>
      <w:r w:rsidRPr="003D2572">
        <w:rPr>
          <w:rFonts w:ascii="Times New Roman" w:eastAsia="宋体" w:hAnsi="Times New Roman" w:cs="宋体"/>
          <w:sz w:val="18"/>
          <w:szCs w:val="18"/>
        </w:rPr>
        <w:t>名无限售流通股股东参与转融通业务出借股份情况</w:t>
      </w:r>
    </w:p>
    <w:p w14:paraId="61CF1DB2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61B3302C" w14:textId="77777777" w:rsidR="000D1347" w:rsidRPr="003D2572" w:rsidRDefault="00000000">
      <w:pPr>
        <w:spacing w:before="100" w:after="10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前</w:t>
      </w:r>
      <w:r w:rsidRPr="003D2572">
        <w:rPr>
          <w:rFonts w:ascii="Times New Roman" w:eastAsia="宋体" w:hAnsi="Times New Roman" w:cs="宋体"/>
          <w:sz w:val="18"/>
          <w:szCs w:val="18"/>
        </w:rPr>
        <w:t>10</w:t>
      </w:r>
      <w:r w:rsidRPr="003D2572">
        <w:rPr>
          <w:rFonts w:ascii="Times New Roman" w:eastAsia="宋体" w:hAnsi="Times New Roman" w:cs="宋体"/>
          <w:sz w:val="18"/>
          <w:szCs w:val="18"/>
        </w:rPr>
        <w:t>名股东及前</w:t>
      </w:r>
      <w:r w:rsidRPr="003D2572">
        <w:rPr>
          <w:rFonts w:ascii="Times New Roman" w:eastAsia="宋体" w:hAnsi="Times New Roman" w:cs="宋体"/>
          <w:sz w:val="18"/>
          <w:szCs w:val="18"/>
        </w:rPr>
        <w:t>10</w:t>
      </w:r>
      <w:r w:rsidRPr="003D2572">
        <w:rPr>
          <w:rFonts w:ascii="Times New Roman" w:eastAsia="宋体" w:hAnsi="Times New Roman" w:cs="宋体"/>
          <w:sz w:val="18"/>
          <w:szCs w:val="18"/>
        </w:rPr>
        <w:t>名无限售流通股股东因转融通出借</w:t>
      </w:r>
      <w:r w:rsidRPr="003D2572">
        <w:rPr>
          <w:rFonts w:ascii="Times New Roman" w:eastAsia="宋体" w:hAnsi="Times New Roman" w:cs="宋体"/>
          <w:sz w:val="18"/>
          <w:szCs w:val="18"/>
        </w:rPr>
        <w:t>/</w:t>
      </w:r>
      <w:r w:rsidRPr="003D2572">
        <w:rPr>
          <w:rFonts w:ascii="Times New Roman" w:eastAsia="宋体" w:hAnsi="Times New Roman" w:cs="宋体"/>
          <w:sz w:val="18"/>
          <w:szCs w:val="18"/>
        </w:rPr>
        <w:t>归还原因导致较上期发生变化</w:t>
      </w:r>
    </w:p>
    <w:p w14:paraId="324BE126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24094E7D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5" w:name="_Toc988894"/>
      <w:r w:rsidRPr="003D2572">
        <w:rPr>
          <w:rFonts w:ascii="Times New Roman" w:hAnsi="Times New Roman" w:cs="宋体"/>
          <w:b/>
          <w:bCs/>
        </w:rPr>
        <w:t>4</w:t>
      </w:r>
      <w:r w:rsidRPr="003D2572">
        <w:rPr>
          <w:rFonts w:ascii="Times New Roman" w:hAnsi="Times New Roman" w:cs="宋体"/>
          <w:b/>
          <w:bCs/>
        </w:rPr>
        <w:t>、控股股东或实际控制人变更情况</w:t>
      </w:r>
      <w:bookmarkEnd w:id="5"/>
    </w:p>
    <w:p w14:paraId="1414E987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控股股东报告期内变更</w:t>
      </w:r>
    </w:p>
    <w:p w14:paraId="014FAAE7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685BFEA3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公司报告期控股股东未发生变更。</w:t>
      </w:r>
    </w:p>
    <w:p w14:paraId="2C449F30" w14:textId="77777777" w:rsidR="000D1347" w:rsidRPr="003D2572" w:rsidRDefault="00000000">
      <w:pPr>
        <w:spacing w:before="100" w:after="10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实际控制人报告期内变更</w:t>
      </w:r>
    </w:p>
    <w:p w14:paraId="5F9BCFEC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7784889E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公司报告期实际控制人未发生变更。</w:t>
      </w:r>
    </w:p>
    <w:p w14:paraId="327A0737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6" w:name="_Toc988895"/>
      <w:r w:rsidRPr="003D2572">
        <w:rPr>
          <w:rFonts w:ascii="Times New Roman" w:hAnsi="Times New Roman" w:cs="宋体"/>
          <w:b/>
          <w:bCs/>
        </w:rPr>
        <w:t>5</w:t>
      </w:r>
      <w:r w:rsidRPr="003D2572">
        <w:rPr>
          <w:rFonts w:ascii="Times New Roman" w:hAnsi="Times New Roman" w:cs="宋体"/>
          <w:b/>
          <w:bCs/>
        </w:rPr>
        <w:t>、公司优先股股东总数及前</w:t>
      </w:r>
      <w:r w:rsidRPr="003D2572">
        <w:rPr>
          <w:rFonts w:ascii="Times New Roman" w:hAnsi="Times New Roman" w:cs="宋体"/>
          <w:b/>
          <w:bCs/>
        </w:rPr>
        <w:t>10</w:t>
      </w:r>
      <w:r w:rsidRPr="003D2572">
        <w:rPr>
          <w:rFonts w:ascii="Times New Roman" w:hAnsi="Times New Roman" w:cs="宋体"/>
          <w:b/>
          <w:bCs/>
        </w:rPr>
        <w:t>名优先股股东持股情况表</w:t>
      </w:r>
      <w:bookmarkEnd w:id="6"/>
    </w:p>
    <w:p w14:paraId="0E739F87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04BBA9A8" w14:textId="77777777" w:rsidR="000D1347" w:rsidRPr="003D2572" w:rsidRDefault="00000000">
      <w:pPr>
        <w:spacing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公司报告期无优先股股东持股情况。</w:t>
      </w:r>
    </w:p>
    <w:p w14:paraId="2E683A92" w14:textId="77777777" w:rsidR="000D1347" w:rsidRPr="003D2572" w:rsidRDefault="00000000">
      <w:pPr>
        <w:pStyle w:val="3"/>
        <w:spacing w:line="280" w:lineRule="exact"/>
        <w:jc w:val="left"/>
        <w:rPr>
          <w:rFonts w:ascii="Times New Roman" w:hAnsi="Times New Roman" w:cs="宋体"/>
          <w:b/>
          <w:bCs/>
        </w:rPr>
      </w:pPr>
      <w:bookmarkStart w:id="7" w:name="_Toc988896"/>
      <w:r w:rsidRPr="003D2572">
        <w:rPr>
          <w:rFonts w:ascii="Times New Roman" w:hAnsi="Times New Roman" w:cs="宋体"/>
          <w:b/>
          <w:bCs/>
        </w:rPr>
        <w:t>6</w:t>
      </w:r>
      <w:r w:rsidRPr="003D2572">
        <w:rPr>
          <w:rFonts w:ascii="Times New Roman" w:hAnsi="Times New Roman" w:cs="宋体"/>
          <w:b/>
          <w:bCs/>
        </w:rPr>
        <w:t>、在半年度报告批准报出日存续的债券情况</w:t>
      </w:r>
      <w:bookmarkEnd w:id="7"/>
    </w:p>
    <w:p w14:paraId="6F9BB0C7" w14:textId="77777777" w:rsidR="000D1347" w:rsidRPr="003D2572" w:rsidRDefault="00000000">
      <w:pPr>
        <w:spacing w:before="40" w:after="40" w:line="240" w:lineRule="exact"/>
        <w:rPr>
          <w:rFonts w:ascii="Times New Roman" w:eastAsia="宋体" w:hAnsi="Times New Roman" w:cs="宋体"/>
          <w:sz w:val="18"/>
          <w:szCs w:val="18"/>
        </w:rPr>
      </w:pPr>
      <w:r w:rsidRPr="003D2572">
        <w:rPr>
          <w:rFonts w:ascii="Times New Roman" w:eastAsia="宋体" w:hAnsi="Times New Roman" w:cs="宋体"/>
          <w:sz w:val="18"/>
          <w:szCs w:val="18"/>
        </w:rPr>
        <w:t>□</w:t>
      </w:r>
      <w:r w:rsidRPr="003D2572">
        <w:rPr>
          <w:rFonts w:ascii="Times New Roman" w:eastAsia="宋体" w:hAnsi="Times New Roman" w:cs="宋体"/>
          <w:sz w:val="18"/>
          <w:szCs w:val="18"/>
        </w:rPr>
        <w:t>适用</w:t>
      </w:r>
      <w:r w:rsidRPr="003D2572">
        <w:rPr>
          <w:rFonts w:ascii="Times New Roman" w:eastAsia="宋体" w:hAnsi="Times New Roman" w:cs="宋体"/>
          <w:sz w:val="18"/>
          <w:szCs w:val="18"/>
        </w:rPr>
        <w:t xml:space="preserve"> </w:t>
      </w:r>
      <w:r w:rsidRPr="003D2572">
        <w:rPr>
          <w:rFonts w:ascii="Times New Roman" w:eastAsia="宋体" w:hAnsi="Times New Roman" w:cs="宋体"/>
          <w:sz w:val="18"/>
          <w:szCs w:val="18"/>
        </w:rPr>
        <w:sym w:font="Wingdings 2" w:char="F052"/>
      </w:r>
      <w:r w:rsidRPr="003D2572">
        <w:rPr>
          <w:rFonts w:ascii="Times New Roman" w:eastAsia="宋体" w:hAnsi="Times New Roman" w:cs="宋体"/>
          <w:sz w:val="18"/>
          <w:szCs w:val="18"/>
        </w:rPr>
        <w:t>不适用</w:t>
      </w:r>
    </w:p>
    <w:p w14:paraId="42D9B5E8" w14:textId="77777777" w:rsidR="000D1347" w:rsidRPr="003D2572" w:rsidRDefault="00000000">
      <w:pPr>
        <w:pStyle w:val="2"/>
        <w:spacing w:before="300" w:after="300" w:line="320" w:lineRule="exact"/>
        <w:rPr>
          <w:rFonts w:ascii="Times New Roman" w:eastAsia="宋体" w:hAnsi="Times New Roman" w:cs="宋体"/>
          <w:b/>
          <w:bCs/>
          <w:sz w:val="24"/>
          <w:szCs w:val="24"/>
        </w:rPr>
      </w:pPr>
      <w:bookmarkStart w:id="8" w:name="_Toc988897"/>
      <w:r w:rsidRPr="003D2572">
        <w:rPr>
          <w:rFonts w:ascii="Times New Roman" w:eastAsia="宋体" w:hAnsi="Times New Roman" w:cs="宋体"/>
          <w:b/>
          <w:bCs/>
          <w:sz w:val="24"/>
          <w:szCs w:val="24"/>
        </w:rPr>
        <w:t>三、重要事项</w:t>
      </w:r>
      <w:bookmarkEnd w:id="8"/>
    </w:p>
    <w:p w14:paraId="3524699C" w14:textId="77777777" w:rsidR="006018E2" w:rsidRPr="003D2572" w:rsidRDefault="00000000">
      <w:pPr>
        <w:pStyle w:val="a3"/>
        <w:divId w:val="933704314"/>
        <w:rPr>
          <w:rFonts w:ascii="Times New Roman" w:hAnsi="Times New Roman"/>
          <w:sz w:val="18"/>
          <w:szCs w:val="18"/>
        </w:rPr>
      </w:pPr>
      <w:r w:rsidRPr="003D2572">
        <w:rPr>
          <w:rFonts w:ascii="Times New Roman" w:hAnsi="Times New Roman" w:hint="eastAsia"/>
          <w:sz w:val="18"/>
          <w:szCs w:val="18"/>
        </w:rPr>
        <w:t>无</w:t>
      </w:r>
    </w:p>
    <w:sectPr w:rsidR="006018E2" w:rsidRPr="003D2572" w:rsidSect="006B75B2">
      <w:headerReference w:type="default" r:id="rId7"/>
      <w:footerReference w:type="default" r:id="rId8"/>
      <w:pgSz w:w="11905" w:h="16840"/>
      <w:pgMar w:top="851" w:right="1134" w:bottom="851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ABB039" w14:textId="77777777" w:rsidR="004614DA" w:rsidRDefault="004614DA">
      <w:r>
        <w:separator/>
      </w:r>
    </w:p>
  </w:endnote>
  <w:endnote w:type="continuationSeparator" w:id="0">
    <w:p w14:paraId="0A2C8232" w14:textId="77777777" w:rsidR="004614DA" w:rsidRDefault="0046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22D96D" w14:textId="77777777" w:rsidR="000D1347" w:rsidRDefault="00000000">
    <w:pPr>
      <w:pStyle w:val="fotter1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414347" w14:textId="77777777" w:rsidR="004614DA" w:rsidRDefault="004614DA">
      <w:r>
        <w:separator/>
      </w:r>
    </w:p>
  </w:footnote>
  <w:footnote w:type="continuationSeparator" w:id="0">
    <w:p w14:paraId="307B1B61" w14:textId="77777777" w:rsidR="004614DA" w:rsidRDefault="00461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BBAB52" w14:textId="77777777" w:rsidR="000D1347" w:rsidRDefault="00000000">
    <w:pPr>
      <w:pStyle w:val="Header1"/>
      <w:pBdr>
        <w:bottom w:val="single" w:sz="6" w:space="1" w:color="auto"/>
      </w:pBdr>
    </w:pPr>
    <w:r>
      <w:t>渤海水业股份有限公司2024年半年度报告摘要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1347"/>
    <w:rsid w:val="0001780C"/>
    <w:rsid w:val="000D1347"/>
    <w:rsid w:val="003D2572"/>
    <w:rsid w:val="0043616E"/>
    <w:rsid w:val="004614DA"/>
    <w:rsid w:val="004E6D32"/>
    <w:rsid w:val="005279A0"/>
    <w:rsid w:val="006018E2"/>
    <w:rsid w:val="006B75B2"/>
    <w:rsid w:val="009702CB"/>
    <w:rsid w:val="00981A0F"/>
    <w:rsid w:val="00E80999"/>
    <w:rsid w:val="00EA7730"/>
    <w:rsid w:val="00F3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E66CD"/>
  <w15:docId w15:val="{6C44ED15-BDF7-498C-A048-FFB0D09B1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6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8C4765F1-F367-468E-9A57-A56313019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董越</dc:creator>
  <cp:lastModifiedBy>董越</cp:lastModifiedBy>
  <cp:revision>2</cp:revision>
  <dcterms:created xsi:type="dcterms:W3CDTF">2024-08-30T00:48:00Z</dcterms:created>
  <dcterms:modified xsi:type="dcterms:W3CDTF">2024-08-30T00:48:00Z</dcterms:modified>
</cp:coreProperties>
</file>