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FF01CE" w14:textId="553B3048" w:rsidR="00E4208E" w:rsidRDefault="00916FA5">
      <w:r w:rsidRPr="00CA424F">
        <w:t>证券代码：</w:t>
      </w:r>
      <w:r w:rsidRPr="00CA424F">
        <w:t xml:space="preserve">000605         </w:t>
      </w:r>
      <w:r w:rsidRPr="00CA424F">
        <w:t>证券简称：渤海股份</w:t>
      </w:r>
      <w:r w:rsidRPr="00CA424F">
        <w:t xml:space="preserve">        </w:t>
      </w:r>
      <w:r w:rsidRPr="00CA424F">
        <w:t>公告编号：</w:t>
      </w:r>
      <w:r w:rsidRPr="00CA424F">
        <w:t>202</w:t>
      </w:r>
      <w:r>
        <w:t>4</w:t>
      </w:r>
      <w:r w:rsidR="003C77AC">
        <w:rPr>
          <w:rFonts w:hint="eastAsia"/>
        </w:rPr>
        <w:t>-0</w:t>
      </w:r>
      <w:r w:rsidR="003C77AC">
        <w:t>50</w:t>
      </w:r>
    </w:p>
    <w:p w14:paraId="3AC744CB" w14:textId="77777777" w:rsidR="00916FA5" w:rsidRDefault="00916FA5"/>
    <w:p w14:paraId="3A694219" w14:textId="77777777" w:rsidR="00916FA5" w:rsidRPr="00CA424F" w:rsidRDefault="00916FA5" w:rsidP="00916FA5">
      <w:pPr>
        <w:jc w:val="center"/>
        <w:rPr>
          <w:b/>
          <w:sz w:val="32"/>
          <w:szCs w:val="20"/>
        </w:rPr>
      </w:pPr>
      <w:r w:rsidRPr="00CA424F">
        <w:rPr>
          <w:b/>
          <w:sz w:val="32"/>
        </w:rPr>
        <w:t>渤海水业股份有限公司</w:t>
      </w:r>
    </w:p>
    <w:p w14:paraId="731982E2" w14:textId="4289B969" w:rsidR="00916FA5" w:rsidRPr="00CA424F" w:rsidRDefault="00916FA5" w:rsidP="00916FA5">
      <w:pPr>
        <w:spacing w:line="560" w:lineRule="exact"/>
        <w:jc w:val="center"/>
        <w:rPr>
          <w:b/>
          <w:sz w:val="36"/>
          <w:szCs w:val="36"/>
        </w:rPr>
      </w:pPr>
      <w:r w:rsidRPr="00CA424F">
        <w:rPr>
          <w:noProof/>
        </w:rPr>
        <mc:AlternateContent>
          <mc:Choice Requires="wps">
            <w:drawing>
              <wp:anchor distT="0" distB="0" distL="114300" distR="114300" simplePos="0" relativeHeight="251659264" behindDoc="0" locked="0" layoutInCell="1" allowOverlap="1" wp14:anchorId="34BF1515" wp14:editId="21989F92">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72C636D6" w14:textId="77777777" w:rsidR="00916FA5" w:rsidRDefault="00916FA5" w:rsidP="00916FA5">
                            <w:pPr>
                              <w:spacing w:line="360" w:lineRule="auto"/>
                              <w:ind w:firstLineChars="200" w:firstLine="482"/>
                              <w:rPr>
                                <w:rFonts w:ascii="宋体"/>
                                <w:b/>
                              </w:rPr>
                            </w:pPr>
                            <w:r>
                              <w:rPr>
                                <w:rFonts w:ascii="宋体" w:hAnsi="宋体" w:hint="eastAsia"/>
                                <w:b/>
                              </w:rPr>
                              <w:t>本公司及董事会全体成员保证信息披露的内容真实、准确、完整，没有虚假记载、误导性陈述或重大遗漏。</w:t>
                            </w:r>
                          </w:p>
                          <w:p w14:paraId="393299B1" w14:textId="77777777" w:rsidR="00916FA5" w:rsidRDefault="00916FA5" w:rsidP="00916FA5">
                            <w:pPr>
                              <w:spacing w:line="360" w:lineRule="auto"/>
                              <w:ind w:firstLineChars="200" w:firstLine="482"/>
                              <w:rPr>
                                <w:rFonts w:ascii="宋体"/>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type w14:anchorId="34BF1515"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">
                <v:stroke miterlimit="2"/>
                <v:textbox>
                  <w:txbxContent>
                    <w:p w14:paraId="72C636D6" w14:textId="77777777" w:rsidR="00916FA5" w:rsidRDefault="00916FA5" w:rsidP="00916FA5">
                      <w:pPr>
                        <w:spacing w:line="360" w:lineRule="auto"/>
                        <w:ind w:firstLineChars="200" w:firstLine="482"/>
                        <w:rPr>
                          <w:rFonts w:ascii="宋体"/>
                          <w:b/>
                        </w:rPr>
                      </w:pPr>
                      <w:r>
                        <w:rPr>
                          <w:rFonts w:ascii="宋体" w:hAnsi="宋体" w:hint="eastAsia"/>
                          <w:b/>
                        </w:rPr>
                        <w:t>本公司及董事会全体成员保证信息披露的内容真实、准确、完整，没有虚假记载、误导性陈述或重大遗漏。</w:t>
                      </w:r>
                    </w:p>
                    <w:p w14:paraId="393299B1" w14:textId="77777777" w:rsidR="00916FA5" w:rsidRDefault="00916FA5" w:rsidP="00916FA5">
                      <w:pPr>
                        <w:spacing w:line="360" w:lineRule="auto"/>
                        <w:ind w:firstLineChars="200" w:firstLine="482"/>
                        <w:rPr>
                          <w:rFonts w:ascii="宋体"/>
                          <w:b/>
                        </w:rPr>
                      </w:pPr>
                    </w:p>
                  </w:txbxContent>
                </v:textbox>
                <w10:wrap type="square"/>
              </v:shape>
            </w:pict>
          </mc:Fallback>
        </mc:AlternateContent>
      </w:r>
      <w:r>
        <w:rPr>
          <w:rFonts w:hint="eastAsia"/>
          <w:b/>
          <w:sz w:val="32"/>
        </w:rPr>
        <w:t>关于持股</w:t>
      </w:r>
      <w:r>
        <w:rPr>
          <w:rFonts w:hint="eastAsia"/>
          <w:b/>
          <w:sz w:val="32"/>
        </w:rPr>
        <w:t>5%</w:t>
      </w:r>
      <w:r>
        <w:rPr>
          <w:rFonts w:hint="eastAsia"/>
          <w:b/>
          <w:sz w:val="32"/>
        </w:rPr>
        <w:t>以上股东股权结构变更的公告</w:t>
      </w:r>
    </w:p>
    <w:p w14:paraId="604927AA" w14:textId="77777777" w:rsidR="00916FA5" w:rsidRDefault="00916FA5" w:rsidP="007256CF">
      <w:pPr>
        <w:spacing w:line="360" w:lineRule="auto"/>
        <w:ind w:firstLineChars="200" w:firstLine="480"/>
      </w:pPr>
    </w:p>
    <w:p w14:paraId="2FD62E59" w14:textId="5D37BBD2" w:rsidR="007256CF" w:rsidRDefault="007256CF" w:rsidP="007256CF">
      <w:pPr>
        <w:spacing w:line="360" w:lineRule="auto"/>
        <w:ind w:firstLineChars="200" w:firstLine="480"/>
      </w:pPr>
      <w:r>
        <w:rPr>
          <w:rFonts w:hint="eastAsia"/>
        </w:rPr>
        <w:t>渤海水业股份有限公司（以下简称“公司”）的控股股东天津兴津企业管理有限公司（以下简称“兴津公司”）为天津国兴资本运营有限公司（以下简称“国兴资本”）的</w:t>
      </w:r>
      <w:r w:rsidR="00FF31B8">
        <w:rPr>
          <w:rFonts w:hint="eastAsia"/>
        </w:rPr>
        <w:t>全资</w:t>
      </w:r>
      <w:r>
        <w:rPr>
          <w:rFonts w:hint="eastAsia"/>
        </w:rPr>
        <w:t>子公司。同时，国兴资本持有公司</w:t>
      </w:r>
      <w:r w:rsidR="00D23A86">
        <w:rPr>
          <w:rFonts w:hint="eastAsia"/>
        </w:rPr>
        <w:t>持股</w:t>
      </w:r>
      <w:r>
        <w:rPr>
          <w:rFonts w:hint="eastAsia"/>
        </w:rPr>
        <w:t>5%</w:t>
      </w:r>
      <w:r>
        <w:rPr>
          <w:rFonts w:hint="eastAsia"/>
        </w:rPr>
        <w:t>以上股东天津水务集团有限公司（以下简称“水务集团”）</w:t>
      </w:r>
      <w:r w:rsidR="00314C58">
        <w:rPr>
          <w:rFonts w:hint="eastAsia"/>
        </w:rPr>
        <w:t>66.45</w:t>
      </w:r>
      <w:r>
        <w:rPr>
          <w:rFonts w:hint="eastAsia"/>
        </w:rPr>
        <w:t>%</w:t>
      </w:r>
      <w:r>
        <w:rPr>
          <w:rFonts w:hint="eastAsia"/>
        </w:rPr>
        <w:t>股权，兴津公司和水务集团分别持有公司</w:t>
      </w:r>
      <w:r>
        <w:rPr>
          <w:rFonts w:hint="eastAsia"/>
        </w:rPr>
        <w:t>22.46%</w:t>
      </w:r>
      <w:r>
        <w:rPr>
          <w:rFonts w:hint="eastAsia"/>
        </w:rPr>
        <w:t>和</w:t>
      </w:r>
      <w:r>
        <w:rPr>
          <w:rFonts w:hint="eastAsia"/>
        </w:rPr>
        <w:t>13.01%</w:t>
      </w:r>
      <w:r>
        <w:rPr>
          <w:rFonts w:hint="eastAsia"/>
        </w:rPr>
        <w:t>股权，且互为一致行动人。近日，公司收到兴津公司发送的《告知函》，具体如下：</w:t>
      </w:r>
    </w:p>
    <w:p w14:paraId="7CCFDD01" w14:textId="0EF982CA" w:rsidR="007256CF" w:rsidRDefault="007256CF" w:rsidP="007256CF">
      <w:pPr>
        <w:spacing w:line="360" w:lineRule="auto"/>
        <w:ind w:firstLineChars="200" w:firstLine="482"/>
        <w:rPr>
          <w:b/>
          <w:bCs/>
        </w:rPr>
      </w:pPr>
      <w:r>
        <w:rPr>
          <w:rFonts w:hint="eastAsia"/>
          <w:b/>
          <w:bCs/>
        </w:rPr>
        <w:t>一、公司持股</w:t>
      </w:r>
      <w:r>
        <w:rPr>
          <w:rFonts w:hint="eastAsia"/>
          <w:b/>
          <w:bCs/>
        </w:rPr>
        <w:t>5%</w:t>
      </w:r>
      <w:r>
        <w:rPr>
          <w:rFonts w:hint="eastAsia"/>
          <w:b/>
          <w:bCs/>
        </w:rPr>
        <w:t>以上股东股权结构的变更情况</w:t>
      </w:r>
    </w:p>
    <w:p w14:paraId="74B71511" w14:textId="150986D4" w:rsidR="007256CF" w:rsidRDefault="0015031E" w:rsidP="007256CF">
      <w:pPr>
        <w:spacing w:line="360" w:lineRule="auto"/>
        <w:ind w:firstLineChars="200" w:firstLine="480"/>
      </w:pPr>
      <w:r w:rsidRPr="0015031E">
        <w:rPr>
          <w:rFonts w:hint="eastAsia"/>
        </w:rPr>
        <w:t>为整合国资系统内部资源，进一步优化产业布局，</w:t>
      </w:r>
      <w:r w:rsidR="00A35D42">
        <w:rPr>
          <w:rFonts w:hint="eastAsia"/>
        </w:rPr>
        <w:t>国兴资本以</w:t>
      </w:r>
      <w:r w:rsidR="00314C58">
        <w:rPr>
          <w:rFonts w:hint="eastAsia"/>
        </w:rPr>
        <w:t>非</w:t>
      </w:r>
      <w:r w:rsidR="00B711BA">
        <w:rPr>
          <w:rFonts w:hint="eastAsia"/>
        </w:rPr>
        <w:t>公开协议方式</w:t>
      </w:r>
      <w:r w:rsidR="00A35D42">
        <w:rPr>
          <w:rFonts w:hint="eastAsia"/>
        </w:rPr>
        <w:t>收购天津国有资本投资运营有限公司持有的水务集团</w:t>
      </w:r>
      <w:r w:rsidR="00A35D42">
        <w:rPr>
          <w:rFonts w:hint="eastAsia"/>
        </w:rPr>
        <w:t>4.05%</w:t>
      </w:r>
      <w:r w:rsidR="00A35D42">
        <w:rPr>
          <w:rFonts w:hint="eastAsia"/>
        </w:rPr>
        <w:t>股权。收购完成后，国兴资本持有水务集团</w:t>
      </w:r>
      <w:r w:rsidR="00A35D42">
        <w:rPr>
          <w:rFonts w:hint="eastAsia"/>
        </w:rPr>
        <w:t>70.5%</w:t>
      </w:r>
      <w:r w:rsidR="00A35D42">
        <w:rPr>
          <w:rFonts w:hint="eastAsia"/>
        </w:rPr>
        <w:t>股权。</w:t>
      </w:r>
    </w:p>
    <w:p w14:paraId="1381AB03" w14:textId="68DFE8F8" w:rsidR="00B711BA" w:rsidRDefault="00A35D42" w:rsidP="0043073A">
      <w:pPr>
        <w:spacing w:line="360" w:lineRule="auto"/>
        <w:ind w:firstLineChars="200" w:firstLine="480"/>
      </w:pPr>
      <w:r>
        <w:rPr>
          <w:rFonts w:hint="eastAsia"/>
        </w:rPr>
        <w:t>本次变动前，国兴资本持有水务集团</w:t>
      </w:r>
      <w:r>
        <w:rPr>
          <w:rFonts w:hint="eastAsia"/>
        </w:rPr>
        <w:t>66.45%</w:t>
      </w:r>
      <w:r>
        <w:rPr>
          <w:rFonts w:hint="eastAsia"/>
        </w:rPr>
        <w:t>股权。本次变动后，国兴资本持有水务集团</w:t>
      </w:r>
      <w:r>
        <w:rPr>
          <w:rFonts w:hint="eastAsia"/>
        </w:rPr>
        <w:t>70.5%</w:t>
      </w:r>
      <w:r>
        <w:rPr>
          <w:rFonts w:hint="eastAsia"/>
        </w:rPr>
        <w:t>股权。水务集团系天津市的市管企业，其实际经营中的重大事项根据天津市人民政府国有资产监督管理委员会（以下简称“天津市国资委”）监管权责清单报天津市国资委批复或备案。国兴资本对水务集团的持股比例变更为</w:t>
      </w:r>
      <w:r>
        <w:rPr>
          <w:rFonts w:hint="eastAsia"/>
        </w:rPr>
        <w:t>70.5%</w:t>
      </w:r>
      <w:r>
        <w:rPr>
          <w:rFonts w:hint="eastAsia"/>
        </w:rPr>
        <w:t>后，不对水务集团进行实际控制，亦不对水务集团进行合并报表处理。</w:t>
      </w:r>
    </w:p>
    <w:p w14:paraId="12817BEE" w14:textId="77777777" w:rsidR="0043073A" w:rsidRDefault="0043073A" w:rsidP="0043073A">
      <w:pPr>
        <w:spacing w:line="360" w:lineRule="auto"/>
        <w:ind w:firstLineChars="200" w:firstLine="480"/>
      </w:pPr>
    </w:p>
    <w:p w14:paraId="72477CCC" w14:textId="7C63C535" w:rsidR="00A35D42" w:rsidRDefault="00A35D42" w:rsidP="007256CF">
      <w:pPr>
        <w:spacing w:line="360" w:lineRule="auto"/>
        <w:ind w:firstLineChars="200" w:firstLine="482"/>
        <w:rPr>
          <w:b/>
          <w:bCs/>
        </w:rPr>
      </w:pPr>
      <w:r>
        <w:rPr>
          <w:rFonts w:hint="eastAsia"/>
          <w:b/>
          <w:bCs/>
        </w:rPr>
        <w:t>二、</w:t>
      </w:r>
      <w:r w:rsidRPr="00A35D42">
        <w:rPr>
          <w:rFonts w:hint="eastAsia"/>
          <w:b/>
          <w:bCs/>
        </w:rPr>
        <w:t>公司持股</w:t>
      </w:r>
      <w:r w:rsidRPr="00A35D42">
        <w:rPr>
          <w:rFonts w:hint="eastAsia"/>
          <w:b/>
          <w:bCs/>
        </w:rPr>
        <w:t>5%</w:t>
      </w:r>
      <w:r w:rsidRPr="00A35D42">
        <w:rPr>
          <w:rFonts w:hint="eastAsia"/>
          <w:b/>
          <w:bCs/>
        </w:rPr>
        <w:t>以上股东权结构变动对公司的影响</w:t>
      </w:r>
    </w:p>
    <w:p w14:paraId="7E6C7631" w14:textId="3E2D4B8B" w:rsidR="00E572B5" w:rsidRDefault="00A35D42" w:rsidP="0043073A">
      <w:pPr>
        <w:spacing w:line="360" w:lineRule="auto"/>
        <w:ind w:firstLineChars="200" w:firstLine="480"/>
      </w:pPr>
      <w:r>
        <w:rPr>
          <w:rFonts w:hint="eastAsia"/>
        </w:rPr>
        <w:t>本次变动后，天津市国资委仍为公司的实际控制人，兴津公司仍为公司的控股股东，兴津公司与水务集团</w:t>
      </w:r>
      <w:bookmarkStart w:id="0" w:name="_GoBack"/>
      <w:bookmarkEnd w:id="0"/>
      <w:r>
        <w:rPr>
          <w:rFonts w:hint="eastAsia"/>
        </w:rPr>
        <w:t>为一致行动人。上述事项不会导致公司主要业务结构发生变化，不会对公司经营活动产生影响。</w:t>
      </w:r>
    </w:p>
    <w:p w14:paraId="0C7C2704" w14:textId="77777777" w:rsidR="0043073A" w:rsidRPr="00E572B5" w:rsidRDefault="0043073A" w:rsidP="0043073A">
      <w:pPr>
        <w:spacing w:line="360" w:lineRule="auto"/>
        <w:ind w:firstLineChars="200" w:firstLine="480"/>
      </w:pPr>
    </w:p>
    <w:p w14:paraId="7ACF9467" w14:textId="6B609613" w:rsidR="00A35D42" w:rsidRDefault="00A35D42" w:rsidP="007256CF">
      <w:pPr>
        <w:spacing w:line="360" w:lineRule="auto"/>
        <w:ind w:firstLineChars="200" w:firstLine="482"/>
        <w:rPr>
          <w:b/>
          <w:bCs/>
        </w:rPr>
      </w:pPr>
      <w:r>
        <w:rPr>
          <w:b/>
          <w:bCs/>
        </w:rPr>
        <w:t>三、</w:t>
      </w:r>
      <w:r>
        <w:rPr>
          <w:rFonts w:hint="eastAsia"/>
          <w:b/>
          <w:bCs/>
        </w:rPr>
        <w:t>备查</w:t>
      </w:r>
      <w:r>
        <w:rPr>
          <w:b/>
          <w:bCs/>
        </w:rPr>
        <w:t>文件</w:t>
      </w:r>
    </w:p>
    <w:p w14:paraId="4D900D96" w14:textId="11F177DB" w:rsidR="00A35D42" w:rsidRDefault="00A35D42" w:rsidP="007256CF">
      <w:pPr>
        <w:spacing w:line="360" w:lineRule="auto"/>
        <w:ind w:firstLineChars="200" w:firstLine="480"/>
      </w:pPr>
      <w:r>
        <w:rPr>
          <w:rFonts w:hint="eastAsia"/>
        </w:rPr>
        <w:lastRenderedPageBreak/>
        <w:t>兴津公司</w:t>
      </w:r>
      <w:r w:rsidR="00FF31B8">
        <w:rPr>
          <w:rFonts w:hint="eastAsia"/>
        </w:rPr>
        <w:t>出具</w:t>
      </w:r>
      <w:r>
        <w:rPr>
          <w:rFonts w:hint="eastAsia"/>
        </w:rPr>
        <w:t>的《告知函》</w:t>
      </w:r>
      <w:r w:rsidR="0043073A">
        <w:rPr>
          <w:rFonts w:hint="eastAsia"/>
        </w:rPr>
        <w:t>。</w:t>
      </w:r>
    </w:p>
    <w:p w14:paraId="7D6B52B8" w14:textId="77777777" w:rsidR="00750FA8" w:rsidRDefault="00750FA8" w:rsidP="007256CF">
      <w:pPr>
        <w:spacing w:line="360" w:lineRule="auto"/>
        <w:ind w:firstLineChars="200" w:firstLine="480"/>
      </w:pPr>
    </w:p>
    <w:p w14:paraId="633A3235" w14:textId="712FD359" w:rsidR="00750FA8" w:rsidRDefault="00750FA8" w:rsidP="007256CF">
      <w:pPr>
        <w:spacing w:line="360" w:lineRule="auto"/>
        <w:ind w:firstLineChars="200" w:firstLine="480"/>
      </w:pPr>
      <w:r>
        <w:rPr>
          <w:rFonts w:hint="eastAsia"/>
        </w:rPr>
        <w:t>特此公告。</w:t>
      </w:r>
    </w:p>
    <w:p w14:paraId="73D64474" w14:textId="77777777" w:rsidR="00750FA8" w:rsidRDefault="00750FA8" w:rsidP="007256CF">
      <w:pPr>
        <w:spacing w:line="360" w:lineRule="auto"/>
        <w:ind w:firstLineChars="200" w:firstLine="480"/>
      </w:pPr>
    </w:p>
    <w:p w14:paraId="52C0D219" w14:textId="479AA613" w:rsidR="00750FA8" w:rsidRDefault="00750FA8" w:rsidP="00750FA8">
      <w:pPr>
        <w:spacing w:line="360" w:lineRule="auto"/>
        <w:ind w:firstLineChars="200" w:firstLine="480"/>
        <w:jc w:val="right"/>
      </w:pPr>
      <w:r>
        <w:rPr>
          <w:rFonts w:hint="eastAsia"/>
        </w:rPr>
        <w:t>渤海水业股份有限公司董事会</w:t>
      </w:r>
    </w:p>
    <w:p w14:paraId="50FC2243" w14:textId="5374330C" w:rsidR="007256CF" w:rsidRPr="00616056" w:rsidRDefault="00750FA8" w:rsidP="00616056">
      <w:pPr>
        <w:spacing w:line="360" w:lineRule="auto"/>
        <w:ind w:right="480" w:firstLineChars="200" w:firstLine="480"/>
        <w:jc w:val="right"/>
      </w:pPr>
      <w:r>
        <w:rPr>
          <w:rFonts w:hint="eastAsia"/>
        </w:rPr>
        <w:t>2024</w:t>
      </w:r>
      <w:r>
        <w:rPr>
          <w:rFonts w:hint="eastAsia"/>
        </w:rPr>
        <w:t>年</w:t>
      </w:r>
      <w:r>
        <w:rPr>
          <w:rFonts w:hint="eastAsia"/>
        </w:rPr>
        <w:t>8</w:t>
      </w:r>
      <w:r>
        <w:rPr>
          <w:rFonts w:hint="eastAsia"/>
        </w:rPr>
        <w:t>月</w:t>
      </w:r>
      <w:r w:rsidR="0043073A">
        <w:t>30</w:t>
      </w:r>
      <w:r>
        <w:rPr>
          <w:rFonts w:hint="eastAsia"/>
        </w:rPr>
        <w:t>日</w:t>
      </w:r>
    </w:p>
    <w:sectPr w:rsidR="007256CF" w:rsidRPr="006160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30EAEB" w14:textId="77777777" w:rsidR="00097997" w:rsidRDefault="00097997" w:rsidP="00916FA5">
      <w:r>
        <w:separator/>
      </w:r>
    </w:p>
  </w:endnote>
  <w:endnote w:type="continuationSeparator" w:id="0">
    <w:p w14:paraId="38D0CC18" w14:textId="77777777" w:rsidR="00097997" w:rsidRDefault="00097997" w:rsidP="00916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524C13" w14:textId="77777777" w:rsidR="00097997" w:rsidRDefault="00097997" w:rsidP="00916FA5">
      <w:r>
        <w:separator/>
      </w:r>
    </w:p>
  </w:footnote>
  <w:footnote w:type="continuationSeparator" w:id="0">
    <w:p w14:paraId="6FF97E8D" w14:textId="77777777" w:rsidR="00097997" w:rsidRDefault="00097997" w:rsidP="00916F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B5B"/>
    <w:rsid w:val="00097997"/>
    <w:rsid w:val="0015031E"/>
    <w:rsid w:val="002113D4"/>
    <w:rsid w:val="0021140C"/>
    <w:rsid w:val="002A1425"/>
    <w:rsid w:val="002D5C21"/>
    <w:rsid w:val="00314C58"/>
    <w:rsid w:val="003C77AC"/>
    <w:rsid w:val="003F11E0"/>
    <w:rsid w:val="003F4CCF"/>
    <w:rsid w:val="0043073A"/>
    <w:rsid w:val="0043187D"/>
    <w:rsid w:val="004626AC"/>
    <w:rsid w:val="00485737"/>
    <w:rsid w:val="004C1EE3"/>
    <w:rsid w:val="00520511"/>
    <w:rsid w:val="005D1C47"/>
    <w:rsid w:val="00616056"/>
    <w:rsid w:val="00621C57"/>
    <w:rsid w:val="00645826"/>
    <w:rsid w:val="007256CF"/>
    <w:rsid w:val="00750FA8"/>
    <w:rsid w:val="00784418"/>
    <w:rsid w:val="00851295"/>
    <w:rsid w:val="008A2684"/>
    <w:rsid w:val="00916FA5"/>
    <w:rsid w:val="00A35D42"/>
    <w:rsid w:val="00A95808"/>
    <w:rsid w:val="00B6432B"/>
    <w:rsid w:val="00B711BA"/>
    <w:rsid w:val="00BB1311"/>
    <w:rsid w:val="00D23A86"/>
    <w:rsid w:val="00E039C9"/>
    <w:rsid w:val="00E4208E"/>
    <w:rsid w:val="00E572B5"/>
    <w:rsid w:val="00E62F68"/>
    <w:rsid w:val="00E71D48"/>
    <w:rsid w:val="00F117F7"/>
    <w:rsid w:val="00F44B5B"/>
    <w:rsid w:val="00FF3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F1A7BA"/>
  <w15:chartTrackingRefBased/>
  <w15:docId w15:val="{229D4B1A-F214-4946-8E60-366E7F608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kern w:val="2"/>
        <w:sz w:val="24"/>
        <w:szCs w:val="22"/>
        <w:lang w:val="en-US" w:eastAsia="zh-CN"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6FA5"/>
    <w:pPr>
      <w:tabs>
        <w:tab w:val="center" w:pos="4153"/>
        <w:tab w:val="right" w:pos="8306"/>
      </w:tabs>
      <w:snapToGrid w:val="0"/>
      <w:jc w:val="center"/>
    </w:pPr>
    <w:rPr>
      <w:sz w:val="18"/>
      <w:szCs w:val="18"/>
    </w:rPr>
  </w:style>
  <w:style w:type="character" w:customStyle="1" w:styleId="Char">
    <w:name w:val="页眉 Char"/>
    <w:basedOn w:val="a0"/>
    <w:link w:val="a3"/>
    <w:uiPriority w:val="99"/>
    <w:rsid w:val="00916FA5"/>
    <w:rPr>
      <w:sz w:val="18"/>
      <w:szCs w:val="18"/>
    </w:rPr>
  </w:style>
  <w:style w:type="paragraph" w:styleId="a4">
    <w:name w:val="footer"/>
    <w:basedOn w:val="a"/>
    <w:link w:val="Char0"/>
    <w:uiPriority w:val="99"/>
    <w:unhideWhenUsed/>
    <w:rsid w:val="00916FA5"/>
    <w:pPr>
      <w:tabs>
        <w:tab w:val="center" w:pos="4153"/>
        <w:tab w:val="right" w:pos="8306"/>
      </w:tabs>
      <w:snapToGrid w:val="0"/>
      <w:jc w:val="left"/>
    </w:pPr>
    <w:rPr>
      <w:sz w:val="18"/>
      <w:szCs w:val="18"/>
    </w:rPr>
  </w:style>
  <w:style w:type="character" w:customStyle="1" w:styleId="Char0">
    <w:name w:val="页脚 Char"/>
    <w:basedOn w:val="a0"/>
    <w:link w:val="a4"/>
    <w:uiPriority w:val="99"/>
    <w:rsid w:val="00916FA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董越</dc:creator>
  <cp:keywords/>
  <dc:description/>
  <cp:lastModifiedBy>王梓</cp:lastModifiedBy>
  <cp:revision>19</cp:revision>
  <dcterms:created xsi:type="dcterms:W3CDTF">2024-08-21T00:49:00Z</dcterms:created>
  <dcterms:modified xsi:type="dcterms:W3CDTF">2024-08-30T09:06:00Z</dcterms:modified>
</cp:coreProperties>
</file>