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122" w:rsidRPr="00B73122" w:rsidRDefault="00B73122" w:rsidP="00B73122">
      <w:pPr>
        <w:spacing w:after="1000" w:line="400" w:lineRule="exact"/>
        <w:rPr>
          <w:rFonts w:ascii="Times New Roman" w:hAnsi="Times New Roman" w:cs="Times New Roman"/>
          <w:sz w:val="24"/>
          <w:szCs w:val="24"/>
        </w:rPr>
      </w:pPr>
      <w:bookmarkStart w:id="0" w:name="OLE_LINK1"/>
      <w:r w:rsidRPr="00B73122">
        <w:rPr>
          <w:rFonts w:ascii="Times New Roman" w:hAnsi="Times New Roman" w:cs="Times New Roman"/>
          <w:sz w:val="24"/>
          <w:szCs w:val="24"/>
        </w:rPr>
        <w:t>证券代码：</w:t>
      </w:r>
      <w:r w:rsidRPr="00B73122">
        <w:rPr>
          <w:rFonts w:ascii="Times New Roman" w:hAnsi="Times New Roman" w:cs="Times New Roman"/>
          <w:sz w:val="24"/>
          <w:szCs w:val="24"/>
        </w:rPr>
        <w:t xml:space="preserve">000605                           </w:t>
      </w:r>
      <w:r w:rsidRPr="00B73122">
        <w:rPr>
          <w:rFonts w:ascii="Times New Roman" w:hAnsi="Times New Roman" w:cs="Times New Roman"/>
          <w:sz w:val="24"/>
          <w:szCs w:val="24"/>
        </w:rPr>
        <w:t>证券简称：渤海股份</w:t>
      </w:r>
      <w:r w:rsidRPr="00B73122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B73122">
        <w:rPr>
          <w:rFonts w:ascii="Times New Roman" w:hAnsi="Times New Roman" w:cs="Times New Roman"/>
          <w:sz w:val="24"/>
          <w:szCs w:val="24"/>
        </w:rPr>
        <w:t>公告编号：</w:t>
      </w:r>
      <w:r w:rsidRPr="00B73122">
        <w:rPr>
          <w:rFonts w:ascii="Times New Roman" w:hAnsi="Times New Roman" w:cs="Times New Roman"/>
          <w:sz w:val="24"/>
          <w:szCs w:val="24"/>
        </w:rPr>
        <w:t>2025-012</w:t>
      </w:r>
      <w:bookmarkEnd w:id="0"/>
    </w:p>
    <w:p w:rsidR="00A8607A" w:rsidRDefault="00436B03">
      <w:pPr>
        <w:spacing w:after="1000" w:line="400" w:lineRule="exact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渤海水业股份有限公司2024年年度报告摘要</w:t>
      </w:r>
    </w:p>
    <w:p w:rsidR="00A8607A" w:rsidRDefault="00436B03">
      <w:pPr>
        <w:pStyle w:val="2"/>
        <w:spacing w:before="300" w:after="300" w:line="320" w:lineRule="exact"/>
        <w:rPr>
          <w:rFonts w:ascii="宋体" w:eastAsia="宋体" w:hAnsi="宋体" w:cs="宋体"/>
          <w:b/>
          <w:bCs/>
          <w:sz w:val="24"/>
          <w:szCs w:val="24"/>
        </w:rPr>
      </w:pPr>
      <w:bookmarkStart w:id="1" w:name="_Toc988889"/>
      <w:r>
        <w:rPr>
          <w:rFonts w:ascii="宋体" w:eastAsia="宋体" w:hAnsi="宋体" w:cs="宋体"/>
          <w:b/>
          <w:bCs/>
          <w:sz w:val="24"/>
          <w:szCs w:val="24"/>
        </w:rPr>
        <w:t>一、重要提示</w:t>
      </w:r>
      <w:bookmarkEnd w:id="1"/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本年度报告摘要来自年度报告全文，为全面了解本公司的经营成果、财务状况及未来发展规划，投资者应当到证监会指定媒体仔细阅读年度报告全文。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所有董事均</w:t>
      </w:r>
      <w:proofErr w:type="gramStart"/>
      <w:r>
        <w:rPr>
          <w:rFonts w:ascii="宋体" w:eastAsia="宋体" w:hAnsi="宋体" w:cs="宋体"/>
          <w:sz w:val="18"/>
          <w:szCs w:val="18"/>
        </w:rPr>
        <w:t>已出席</w:t>
      </w:r>
      <w:proofErr w:type="gramEnd"/>
      <w:r>
        <w:rPr>
          <w:rFonts w:ascii="宋体" w:eastAsia="宋体" w:hAnsi="宋体" w:cs="宋体"/>
          <w:sz w:val="18"/>
          <w:szCs w:val="18"/>
        </w:rPr>
        <w:t>了审议本报告的董事会会议。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非标准审计意见提示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 xml:space="preserve">□适用 </w:t>
      </w:r>
      <w:r>
        <w:rPr>
          <w:rFonts w:ascii="宋体" w:eastAsia="宋体" w:hAnsi="宋体" w:cs="宋体"/>
          <w:sz w:val="18"/>
          <w:szCs w:val="18"/>
        </w:rPr>
        <w:sym w:font="Wingdings 2" w:char="F052"/>
      </w:r>
      <w:r>
        <w:rPr>
          <w:rFonts w:ascii="宋体" w:eastAsia="宋体" w:hAnsi="宋体" w:cs="宋体"/>
          <w:sz w:val="18"/>
          <w:szCs w:val="18"/>
        </w:rPr>
        <w:t>不适用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董事会审议的报告期利润分配预案或公积金转增股本预案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sym w:font="Wingdings 2" w:char="F052"/>
      </w:r>
      <w:r>
        <w:rPr>
          <w:rFonts w:ascii="宋体" w:eastAsia="宋体" w:hAnsi="宋体" w:cs="宋体"/>
          <w:sz w:val="18"/>
          <w:szCs w:val="18"/>
        </w:rPr>
        <w:t>适用 □不适用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是否以公积金转增股本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 xml:space="preserve">□是 </w:t>
      </w:r>
      <w:bookmarkStart w:id="2" w:name="OLE_LINK2"/>
      <w:bookmarkStart w:id="3" w:name="OLE_LINK3"/>
      <w:bookmarkStart w:id="4" w:name="OLE_LINK4"/>
      <w:r>
        <w:rPr>
          <w:rFonts w:ascii="宋体" w:eastAsia="宋体" w:hAnsi="宋体" w:cs="宋体"/>
          <w:sz w:val="18"/>
          <w:szCs w:val="18"/>
        </w:rPr>
        <w:sym w:font="Wingdings 2" w:char="F052"/>
      </w:r>
      <w:bookmarkEnd w:id="2"/>
      <w:bookmarkEnd w:id="3"/>
      <w:bookmarkEnd w:id="4"/>
      <w:r>
        <w:rPr>
          <w:rFonts w:ascii="宋体" w:eastAsia="宋体" w:hAnsi="宋体" w:cs="宋体"/>
          <w:sz w:val="18"/>
          <w:szCs w:val="18"/>
        </w:rPr>
        <w:t>否</w:t>
      </w:r>
    </w:p>
    <w:p w:rsidR="00A8607A" w:rsidRDefault="00436B03">
      <w:pPr>
        <w:spacing w:before="40" w:after="4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公司经本次董事会审议通过的利润分配预案为：以352,658,600为基数，向全体股东每10股派发现金红利0.20元（含税），送红股0股（含税），不以公积金转增股本。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董事会决议通过的本报告期优先股利润分配预案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 xml:space="preserve">□适用 </w:t>
      </w:r>
      <w:r w:rsidR="00B73122">
        <w:rPr>
          <w:rFonts w:ascii="宋体" w:eastAsia="宋体" w:hAnsi="宋体" w:cs="宋体"/>
          <w:sz w:val="18"/>
          <w:szCs w:val="18"/>
        </w:rPr>
        <w:sym w:font="Wingdings 2" w:char="F052"/>
      </w:r>
      <w:r>
        <w:rPr>
          <w:rFonts w:ascii="宋体" w:eastAsia="宋体" w:hAnsi="宋体" w:cs="宋体"/>
          <w:sz w:val="18"/>
          <w:szCs w:val="18"/>
        </w:rPr>
        <w:t>不适用</w:t>
      </w:r>
    </w:p>
    <w:p w:rsidR="00A8607A" w:rsidRDefault="00436B03">
      <w:pPr>
        <w:pStyle w:val="2"/>
        <w:spacing w:before="300" w:after="300" w:line="320" w:lineRule="exact"/>
        <w:rPr>
          <w:rFonts w:ascii="宋体" w:eastAsia="宋体" w:hAnsi="宋体" w:cs="宋体"/>
          <w:b/>
          <w:bCs/>
          <w:sz w:val="24"/>
          <w:szCs w:val="24"/>
        </w:rPr>
      </w:pPr>
      <w:bookmarkStart w:id="5" w:name="_Toc988890"/>
      <w:r>
        <w:rPr>
          <w:rFonts w:ascii="宋体" w:eastAsia="宋体" w:hAnsi="宋体" w:cs="宋体"/>
          <w:b/>
          <w:bCs/>
          <w:sz w:val="24"/>
          <w:szCs w:val="24"/>
        </w:rPr>
        <w:t>二、公司基本情况</w:t>
      </w:r>
      <w:bookmarkEnd w:id="5"/>
    </w:p>
    <w:p w:rsidR="00A8607A" w:rsidRDefault="00436B03">
      <w:pPr>
        <w:pStyle w:val="3"/>
        <w:spacing w:line="280" w:lineRule="exact"/>
        <w:jc w:val="left"/>
        <w:rPr>
          <w:rFonts w:ascii="宋体" w:hAnsi="宋体" w:cs="宋体"/>
          <w:b/>
          <w:bCs/>
        </w:rPr>
      </w:pPr>
      <w:bookmarkStart w:id="6" w:name="_Toc988891"/>
      <w:r>
        <w:rPr>
          <w:rFonts w:ascii="宋体" w:hAnsi="宋体" w:cs="宋体"/>
          <w:b/>
          <w:bCs/>
        </w:rPr>
        <w:t>1、公司简介</w:t>
      </w:r>
      <w:bookmarkEnd w:id="6"/>
    </w:p>
    <w:tbl>
      <w:tblPr>
        <w:tblW w:w="9639" w:type="dxa"/>
        <w:tblInd w:w="108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3827"/>
        <w:gridCol w:w="1701"/>
        <w:gridCol w:w="2126"/>
      </w:tblGrid>
      <w:tr w:rsidR="00A8607A" w:rsidTr="00B73122">
        <w:trPr>
          <w:trHeight w:val="240"/>
        </w:trPr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>
            <w:pPr>
              <w:spacing w:before="40" w:after="40"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股票简称</w:t>
            </w:r>
          </w:p>
        </w:tc>
        <w:tc>
          <w:tcPr>
            <w:tcW w:w="3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渤海股份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>
            <w:pPr>
              <w:spacing w:before="40" w:after="40"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股票代码</w:t>
            </w:r>
          </w:p>
        </w:tc>
        <w:tc>
          <w:tcPr>
            <w:tcW w:w="21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000605</w:t>
            </w:r>
          </w:p>
        </w:tc>
      </w:tr>
      <w:tr w:rsidR="00A8607A" w:rsidTr="00B73122">
        <w:trPr>
          <w:trHeight w:val="240"/>
        </w:trPr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>
            <w:pPr>
              <w:spacing w:before="40" w:after="40"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股票上市交易所</w:t>
            </w:r>
          </w:p>
        </w:tc>
        <w:tc>
          <w:tcPr>
            <w:tcW w:w="765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深圳证券交易所</w:t>
            </w:r>
          </w:p>
        </w:tc>
      </w:tr>
      <w:tr w:rsidR="00A8607A" w:rsidTr="00B73122">
        <w:trPr>
          <w:trHeight w:val="240"/>
        </w:trPr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 w:rsidP="00B73122">
            <w:pPr>
              <w:spacing w:before="40" w:after="40"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联系人和联系方式</w:t>
            </w:r>
          </w:p>
        </w:tc>
        <w:tc>
          <w:tcPr>
            <w:tcW w:w="3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>
            <w:pPr>
              <w:spacing w:before="40" w:after="40" w:line="24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董事会秘书</w:t>
            </w:r>
          </w:p>
        </w:tc>
        <w:tc>
          <w:tcPr>
            <w:tcW w:w="382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>
            <w:pPr>
              <w:spacing w:before="40" w:after="40" w:line="24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证券事务代表</w:t>
            </w:r>
          </w:p>
        </w:tc>
      </w:tr>
      <w:tr w:rsidR="00A8607A" w:rsidTr="00B73122">
        <w:trPr>
          <w:trHeight w:val="240"/>
        </w:trPr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>
            <w:pPr>
              <w:spacing w:before="40" w:after="40"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姓名</w:t>
            </w:r>
          </w:p>
        </w:tc>
        <w:tc>
          <w:tcPr>
            <w:tcW w:w="3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/>
                <w:sz w:val="18"/>
                <w:szCs w:val="18"/>
              </w:rPr>
              <w:t>李新霞</w:t>
            </w:r>
            <w:proofErr w:type="gramEnd"/>
          </w:p>
        </w:tc>
        <w:tc>
          <w:tcPr>
            <w:tcW w:w="382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郭兆然</w:t>
            </w:r>
          </w:p>
        </w:tc>
      </w:tr>
      <w:tr w:rsidR="00A8607A" w:rsidTr="00B73122">
        <w:trPr>
          <w:trHeight w:val="240"/>
        </w:trPr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>
            <w:pPr>
              <w:spacing w:before="40" w:after="40"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办公地址</w:t>
            </w:r>
          </w:p>
        </w:tc>
        <w:tc>
          <w:tcPr>
            <w:tcW w:w="3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北京顺义区南法信镇机场北街8号院2幢航港国际大厦9层902</w:t>
            </w:r>
          </w:p>
        </w:tc>
        <w:tc>
          <w:tcPr>
            <w:tcW w:w="382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北京顺义区南法信镇机场北街8号院2幢航港国际大厦9层902</w:t>
            </w:r>
          </w:p>
        </w:tc>
      </w:tr>
      <w:tr w:rsidR="00A8607A" w:rsidTr="00B73122">
        <w:trPr>
          <w:trHeight w:val="240"/>
        </w:trPr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>
            <w:pPr>
              <w:spacing w:before="40" w:after="40"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传真</w:t>
            </w:r>
          </w:p>
        </w:tc>
        <w:tc>
          <w:tcPr>
            <w:tcW w:w="3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010-89586920</w:t>
            </w:r>
          </w:p>
        </w:tc>
        <w:tc>
          <w:tcPr>
            <w:tcW w:w="382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010-89586920</w:t>
            </w:r>
          </w:p>
        </w:tc>
      </w:tr>
      <w:tr w:rsidR="00A8607A" w:rsidTr="00B73122">
        <w:trPr>
          <w:trHeight w:val="240"/>
        </w:trPr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>
            <w:pPr>
              <w:spacing w:before="40" w:after="40"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电话</w:t>
            </w:r>
          </w:p>
        </w:tc>
        <w:tc>
          <w:tcPr>
            <w:tcW w:w="3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010-89586598</w:t>
            </w:r>
          </w:p>
        </w:tc>
        <w:tc>
          <w:tcPr>
            <w:tcW w:w="382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010-89586598</w:t>
            </w:r>
          </w:p>
        </w:tc>
      </w:tr>
      <w:tr w:rsidR="00A8607A" w:rsidTr="00B73122">
        <w:trPr>
          <w:trHeight w:val="240"/>
        </w:trPr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>
            <w:pPr>
              <w:spacing w:before="40" w:after="40"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电子信箱</w:t>
            </w:r>
          </w:p>
        </w:tc>
        <w:tc>
          <w:tcPr>
            <w:tcW w:w="3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dongmi@bohai-water.com</w:t>
            </w:r>
          </w:p>
        </w:tc>
        <w:tc>
          <w:tcPr>
            <w:tcW w:w="382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dongmi@bohai-water.com</w:t>
            </w:r>
          </w:p>
        </w:tc>
      </w:tr>
    </w:tbl>
    <w:p w:rsidR="00A8607A" w:rsidRDefault="00436B03">
      <w:pPr>
        <w:pStyle w:val="3"/>
        <w:spacing w:line="280" w:lineRule="exact"/>
        <w:jc w:val="left"/>
        <w:rPr>
          <w:rFonts w:ascii="宋体" w:hAnsi="宋体" w:cs="宋体"/>
          <w:b/>
          <w:bCs/>
        </w:rPr>
      </w:pPr>
      <w:bookmarkStart w:id="7" w:name="_Toc988892"/>
      <w:r>
        <w:rPr>
          <w:rFonts w:ascii="宋体" w:hAnsi="宋体" w:cs="宋体"/>
          <w:b/>
          <w:bCs/>
        </w:rPr>
        <w:t>2、报告期主要业务或产品简介</w:t>
      </w:r>
      <w:bookmarkEnd w:id="7"/>
    </w:p>
    <w:p w:rsidR="00047073" w:rsidRDefault="00436B03" w:rsidP="005D66FD">
      <w:pPr>
        <w:pStyle w:val="a3"/>
        <w:spacing w:before="0" w:beforeAutospacing="0" w:after="0" w:afterAutospacing="0"/>
        <w:ind w:firstLine="480"/>
        <w:jc w:val="both"/>
        <w:divId w:val="2109034016"/>
        <w:rPr>
          <w:rFonts w:ascii="Times New Roman" w:hAnsi="Times New Roman" w:cs="Times New Roman"/>
        </w:rPr>
      </w:pPr>
      <w:r>
        <w:rPr>
          <w:rFonts w:cs="Times New Roman" w:hint="eastAsia"/>
          <w:sz w:val="18"/>
          <w:szCs w:val="18"/>
        </w:rPr>
        <w:t>公司主营业务包括原水开发供应，区域间调水，粗质水，自来水生产及输送，优质地下水高附加值经营，直饮水，城镇集中式供水，水务新技术研发应用，水环境治理的基础设施的投资建设及运营管理，市政及园区污水处理工程的投资及总承包，固</w:t>
      </w:r>
      <w:proofErr w:type="gramStart"/>
      <w:r>
        <w:rPr>
          <w:rFonts w:cs="Times New Roman" w:hint="eastAsia"/>
          <w:sz w:val="18"/>
          <w:szCs w:val="18"/>
        </w:rPr>
        <w:t>废危废</w:t>
      </w:r>
      <w:proofErr w:type="gramEnd"/>
      <w:r>
        <w:rPr>
          <w:rFonts w:cs="Times New Roman" w:hint="eastAsia"/>
          <w:sz w:val="18"/>
          <w:szCs w:val="18"/>
        </w:rPr>
        <w:t>处置及资源再利用，清洁能源供暖业务。在供水领域，公司是天津市滨海</w:t>
      </w:r>
      <w:proofErr w:type="gramStart"/>
      <w:r>
        <w:rPr>
          <w:rFonts w:cs="Times New Roman" w:hint="eastAsia"/>
          <w:sz w:val="18"/>
          <w:szCs w:val="18"/>
        </w:rPr>
        <w:t>新区原</w:t>
      </w:r>
      <w:proofErr w:type="gramEnd"/>
      <w:r>
        <w:rPr>
          <w:rFonts w:cs="Times New Roman" w:hint="eastAsia"/>
          <w:sz w:val="18"/>
          <w:szCs w:val="18"/>
        </w:rPr>
        <w:t>水的主要供应商以及部分区域的自来水供应商。</w:t>
      </w:r>
      <w:r w:rsidR="005D66FD">
        <w:rPr>
          <w:rFonts w:cs="Times New Roman" w:hint="eastAsia"/>
          <w:sz w:val="18"/>
          <w:szCs w:val="18"/>
        </w:rPr>
        <w:t>在供热能源领域，公司采用热电联产、相变储能等清洁能源技术，提供市政清洁能源供</w:t>
      </w:r>
      <w:r w:rsidR="005D66FD">
        <w:rPr>
          <w:rFonts w:cs="Times New Roman" w:hint="eastAsia"/>
          <w:sz w:val="18"/>
          <w:szCs w:val="18"/>
        </w:rPr>
        <w:lastRenderedPageBreak/>
        <w:t>暖服务。</w:t>
      </w:r>
      <w:bookmarkStart w:id="8" w:name="_GoBack"/>
      <w:bookmarkEnd w:id="8"/>
      <w:r>
        <w:rPr>
          <w:rFonts w:cs="Times New Roman" w:hint="eastAsia"/>
          <w:sz w:val="18"/>
          <w:szCs w:val="18"/>
        </w:rPr>
        <w:t>在环境治理领域，公司可提供城市环境治理的投资建设和运营管理等服务，同时公司立</w:t>
      </w:r>
      <w:r w:rsidR="005D66FD">
        <w:rPr>
          <w:rFonts w:cs="Times New Roman" w:hint="eastAsia"/>
          <w:sz w:val="18"/>
          <w:szCs w:val="18"/>
        </w:rPr>
        <w:t>足京津冀和长三角区域，提供固</w:t>
      </w:r>
      <w:proofErr w:type="gramStart"/>
      <w:r w:rsidR="005D66FD">
        <w:rPr>
          <w:rFonts w:cs="Times New Roman" w:hint="eastAsia"/>
          <w:sz w:val="18"/>
          <w:szCs w:val="18"/>
        </w:rPr>
        <w:t>废危废</w:t>
      </w:r>
      <w:proofErr w:type="gramEnd"/>
      <w:r w:rsidR="005D66FD">
        <w:rPr>
          <w:rFonts w:cs="Times New Roman" w:hint="eastAsia"/>
          <w:sz w:val="18"/>
          <w:szCs w:val="18"/>
        </w:rPr>
        <w:t>处置及资源化利用服务。</w:t>
      </w:r>
    </w:p>
    <w:p w:rsidR="00A8607A" w:rsidRDefault="00436B03">
      <w:pPr>
        <w:pStyle w:val="3"/>
        <w:spacing w:line="280" w:lineRule="exact"/>
        <w:jc w:val="left"/>
        <w:rPr>
          <w:rFonts w:ascii="宋体" w:hAnsi="宋体" w:cs="宋体"/>
          <w:b/>
          <w:bCs/>
        </w:rPr>
      </w:pPr>
      <w:bookmarkStart w:id="9" w:name="_Toc988893"/>
      <w:r>
        <w:rPr>
          <w:rFonts w:ascii="宋体" w:hAnsi="宋体" w:cs="宋体"/>
          <w:b/>
          <w:bCs/>
        </w:rPr>
        <w:t>3、主要会计数据和财务指标</w:t>
      </w:r>
      <w:bookmarkEnd w:id="9"/>
    </w:p>
    <w:p w:rsidR="00A8607A" w:rsidRDefault="00436B03">
      <w:pPr>
        <w:keepNext/>
        <w:keepLines/>
        <w:spacing w:before="300" w:after="300" w:line="280" w:lineRule="exact"/>
        <w:outlineLvl w:val="3"/>
        <w:rPr>
          <w:rFonts w:ascii="宋体" w:eastAsia="宋体" w:hAnsi="宋体" w:cs="宋体"/>
          <w:b/>
          <w:bCs/>
          <w:sz w:val="18"/>
          <w:szCs w:val="18"/>
        </w:rPr>
      </w:pPr>
      <w:bookmarkStart w:id="10" w:name="_Toc988894"/>
      <w:r>
        <w:rPr>
          <w:rFonts w:ascii="宋体" w:eastAsia="宋体" w:hAnsi="宋体" w:cs="宋体"/>
          <w:b/>
          <w:bCs/>
          <w:sz w:val="18"/>
          <w:szCs w:val="18"/>
        </w:rPr>
        <w:t>（1） 近三年主要会计数据和财务指标</w:t>
      </w:r>
      <w:bookmarkEnd w:id="10"/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公司是否需追溯调整或重述以前年度会计数据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 xml:space="preserve">□是 </w:t>
      </w:r>
      <w:r>
        <w:rPr>
          <w:rFonts w:ascii="宋体" w:eastAsia="宋体" w:hAnsi="宋体" w:cs="宋体"/>
          <w:sz w:val="18"/>
          <w:szCs w:val="18"/>
        </w:rPr>
        <w:sym w:font="Wingdings 2" w:char="F052"/>
      </w:r>
      <w:r>
        <w:rPr>
          <w:rFonts w:ascii="宋体" w:eastAsia="宋体" w:hAnsi="宋体" w:cs="宋体"/>
          <w:sz w:val="18"/>
          <w:szCs w:val="18"/>
        </w:rPr>
        <w:t>否</w:t>
      </w:r>
    </w:p>
    <w:p w:rsidR="00A8607A" w:rsidRDefault="00436B03">
      <w:pPr>
        <w:spacing w:before="120" w:after="120" w:line="240" w:lineRule="exact"/>
        <w:jc w:val="righ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单位：元</w:t>
      </w:r>
    </w:p>
    <w:tbl>
      <w:tblPr>
        <w:tblW w:w="9639" w:type="dxa"/>
        <w:tblInd w:w="108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28"/>
        <w:gridCol w:w="1928"/>
      </w:tblGrid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A860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2024</w:t>
            </w: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年末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2023</w:t>
            </w: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年末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本年末比上年末增减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2022</w:t>
            </w: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年末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总资产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8,148,398,744.16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7,986,057,318.47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2.03%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8,105,133,543.02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归属于上市公司股东的净资产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2,124,338,428.58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2,115,300,409.98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0.43%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2,103,321,147.35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A860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2024</w:t>
            </w: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2023</w:t>
            </w: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本年比上年增减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2022</w:t>
            </w: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营业收入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1,761,201,344.32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1,844,760,143.76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-4.53%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1,753,339,336.97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归属于上市公司股东的净利润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16,091,190.60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20,121,787.89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-20.03%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16,366,389.41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归属于上市公司股东的扣除非经常性损益的净利润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1,140,101.92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1,566,934.74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-27.24%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-4,614,362.42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经营活动产生的现金流量净额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254,745,561.51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305,227,252.29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-16.54%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121,561,262.66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基本每股收益（元</w:t>
            </w: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股）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0.0456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0.0571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-20.14%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0.0464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稀释每股收益（元</w:t>
            </w: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股）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0.0456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0.0571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-20.14%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0.0464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加权平均净资产收益率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0.76%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0.95%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-0.19%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0.78%</w:t>
            </w:r>
          </w:p>
        </w:tc>
      </w:tr>
    </w:tbl>
    <w:p w:rsidR="00A8607A" w:rsidRDefault="00436B03">
      <w:pPr>
        <w:keepNext/>
        <w:keepLines/>
        <w:spacing w:before="300" w:after="300" w:line="280" w:lineRule="exact"/>
        <w:outlineLvl w:val="3"/>
        <w:rPr>
          <w:rFonts w:ascii="宋体" w:eastAsia="宋体" w:hAnsi="宋体" w:cs="宋体"/>
          <w:b/>
          <w:bCs/>
          <w:sz w:val="18"/>
          <w:szCs w:val="18"/>
        </w:rPr>
      </w:pPr>
      <w:bookmarkStart w:id="11" w:name="_Toc988895"/>
      <w:r>
        <w:rPr>
          <w:rFonts w:ascii="宋体" w:eastAsia="宋体" w:hAnsi="宋体" w:cs="宋体"/>
          <w:b/>
          <w:bCs/>
          <w:sz w:val="18"/>
          <w:szCs w:val="18"/>
        </w:rPr>
        <w:t>（2） 分季度主要会计数据</w:t>
      </w:r>
      <w:bookmarkEnd w:id="11"/>
    </w:p>
    <w:p w:rsidR="00A8607A" w:rsidRDefault="00436B03">
      <w:pPr>
        <w:spacing w:before="120" w:after="120" w:line="240" w:lineRule="exact"/>
        <w:jc w:val="righ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单位：元</w:t>
      </w:r>
    </w:p>
    <w:tbl>
      <w:tblPr>
        <w:tblW w:w="9639" w:type="dxa"/>
        <w:tblInd w:w="108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28"/>
        <w:gridCol w:w="1928"/>
      </w:tblGrid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A860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第一季度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第二季度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第三季度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第四季度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营业收入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597,278,239.35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324,647,120.12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280,921,788.83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558,354,196.02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归属于上市公司股东的净利润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17,806,974.79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-1,471,401.60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-4,243,349.27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3,998,966.68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归属于上市公司股东的扣除非经常性损益的净利润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10,444,014.97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169,534.66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-8,220,839.97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-1,252,607.74</w:t>
            </w:r>
          </w:p>
        </w:tc>
      </w:tr>
      <w:tr w:rsidR="00A8607A">
        <w:trPr>
          <w:trHeight w:val="240"/>
        </w:trPr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经营活动产生的现金流量净额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33,065,986.86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-13,579,527.93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6,620,677.27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228,638,425.31</w:t>
            </w:r>
          </w:p>
        </w:tc>
      </w:tr>
    </w:tbl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上述财务指标或其加总数是否与公司已披露季度报告、半年度报告相关财务指标存在重大差异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 xml:space="preserve">□是 </w:t>
      </w:r>
      <w:r>
        <w:rPr>
          <w:rFonts w:ascii="宋体" w:eastAsia="宋体" w:hAnsi="宋体" w:cs="宋体"/>
          <w:sz w:val="18"/>
          <w:szCs w:val="18"/>
        </w:rPr>
        <w:sym w:font="Wingdings 2" w:char="F052"/>
      </w:r>
      <w:r>
        <w:rPr>
          <w:rFonts w:ascii="宋体" w:eastAsia="宋体" w:hAnsi="宋体" w:cs="宋体"/>
          <w:sz w:val="18"/>
          <w:szCs w:val="18"/>
        </w:rPr>
        <w:t>否</w:t>
      </w:r>
    </w:p>
    <w:p w:rsidR="00A8607A" w:rsidRDefault="00436B03">
      <w:pPr>
        <w:pStyle w:val="3"/>
        <w:spacing w:line="280" w:lineRule="exact"/>
        <w:jc w:val="left"/>
        <w:rPr>
          <w:rFonts w:ascii="宋体" w:hAnsi="宋体" w:cs="宋体"/>
          <w:b/>
          <w:bCs/>
        </w:rPr>
      </w:pPr>
      <w:bookmarkStart w:id="12" w:name="_Toc988896"/>
      <w:r>
        <w:rPr>
          <w:rFonts w:ascii="宋体" w:hAnsi="宋体" w:cs="宋体"/>
          <w:b/>
          <w:bCs/>
        </w:rPr>
        <w:lastRenderedPageBreak/>
        <w:t>4、股本及股东情况</w:t>
      </w:r>
      <w:bookmarkEnd w:id="12"/>
    </w:p>
    <w:p w:rsidR="00A8607A" w:rsidRDefault="00436B03">
      <w:pPr>
        <w:keepNext/>
        <w:keepLines/>
        <w:spacing w:before="300" w:after="300" w:line="280" w:lineRule="exact"/>
        <w:outlineLvl w:val="3"/>
        <w:rPr>
          <w:rFonts w:ascii="宋体" w:eastAsia="宋体" w:hAnsi="宋体" w:cs="宋体"/>
          <w:b/>
          <w:bCs/>
          <w:sz w:val="18"/>
          <w:szCs w:val="18"/>
        </w:rPr>
      </w:pPr>
      <w:bookmarkStart w:id="13" w:name="_Toc988897"/>
      <w:r>
        <w:rPr>
          <w:rFonts w:ascii="宋体" w:eastAsia="宋体" w:hAnsi="宋体" w:cs="宋体"/>
          <w:b/>
          <w:bCs/>
          <w:sz w:val="18"/>
          <w:szCs w:val="18"/>
        </w:rPr>
        <w:t>（1） 普通股股东和表决权恢复的优先股股东数量及前10名股东持股情况表</w:t>
      </w:r>
      <w:bookmarkEnd w:id="13"/>
    </w:p>
    <w:p w:rsidR="00A8607A" w:rsidRDefault="00436B03">
      <w:pPr>
        <w:spacing w:before="40" w:after="40" w:line="240" w:lineRule="exact"/>
        <w:jc w:val="righ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单位：股</w:t>
      </w:r>
    </w:p>
    <w:tbl>
      <w:tblPr>
        <w:tblW w:w="9639" w:type="dxa"/>
        <w:tblInd w:w="108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1"/>
        <w:gridCol w:w="1071"/>
        <w:gridCol w:w="410"/>
        <w:gridCol w:w="661"/>
        <w:gridCol w:w="615"/>
        <w:gridCol w:w="456"/>
        <w:gridCol w:w="536"/>
        <w:gridCol w:w="1134"/>
        <w:gridCol w:w="142"/>
        <w:gridCol w:w="992"/>
        <w:gridCol w:w="1276"/>
        <w:gridCol w:w="1275"/>
      </w:tblGrid>
      <w:tr w:rsidR="00A8607A" w:rsidTr="00B73122">
        <w:trPr>
          <w:trHeight w:val="240"/>
        </w:trPr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>
            <w:pPr>
              <w:spacing w:before="40" w:after="40"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报告期末普通股股东总数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28,148</w:t>
            </w:r>
          </w:p>
        </w:tc>
        <w:tc>
          <w:tcPr>
            <w:tcW w:w="10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年度报告披露日前一个月末普通股股东总数</w:t>
            </w:r>
          </w:p>
        </w:tc>
        <w:tc>
          <w:tcPr>
            <w:tcW w:w="10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23,859</w:t>
            </w:r>
          </w:p>
        </w:tc>
        <w:tc>
          <w:tcPr>
            <w:tcW w:w="181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报告期末表决权恢复的优先股股东总数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年度报告披露日前一个月末表决权恢复的优先股股东总数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A8607A">
        <w:trPr>
          <w:trHeight w:val="240"/>
        </w:trPr>
        <w:tc>
          <w:tcPr>
            <w:tcW w:w="9639" w:type="dxa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前</w:t>
            </w: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名股东持股情况（不含通过转融通出借股份）</w:t>
            </w:r>
          </w:p>
        </w:tc>
      </w:tr>
      <w:tr w:rsidR="00A8607A" w:rsidTr="00B73122">
        <w:trPr>
          <w:trHeight w:val="240"/>
        </w:trPr>
        <w:tc>
          <w:tcPr>
            <w:tcW w:w="2552" w:type="dxa"/>
            <w:gridSpan w:val="3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436B03">
            <w:pPr>
              <w:spacing w:before="40" w:after="40" w:line="24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股东名称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股东性质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持股比例</w:t>
            </w:r>
          </w:p>
        </w:tc>
        <w:tc>
          <w:tcPr>
            <w:tcW w:w="113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持股数量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持有有限</w:t>
            </w:r>
            <w:proofErr w:type="gramStart"/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售条件</w:t>
            </w:r>
            <w:proofErr w:type="gramEnd"/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的股份数量</w:t>
            </w:r>
          </w:p>
        </w:tc>
        <w:tc>
          <w:tcPr>
            <w:tcW w:w="255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质押、标记或冻结情况</w:t>
            </w:r>
          </w:p>
        </w:tc>
      </w:tr>
      <w:tr w:rsidR="00A8607A" w:rsidTr="00B73122">
        <w:trPr>
          <w:trHeight w:val="240"/>
        </w:trPr>
        <w:tc>
          <w:tcPr>
            <w:tcW w:w="2552" w:type="dxa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Default="00A8607A"/>
        </w:tc>
        <w:tc>
          <w:tcPr>
            <w:tcW w:w="1276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A860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A860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A860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A860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股份状态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数量</w:t>
            </w:r>
          </w:p>
        </w:tc>
      </w:tr>
      <w:tr w:rsidR="00A8607A" w:rsidTr="00B73122">
        <w:trPr>
          <w:trHeight w:val="240"/>
        </w:trPr>
        <w:tc>
          <w:tcPr>
            <w:tcW w:w="255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 w:rsidP="00B73122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天津兴津企业管理有限公司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国有法人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22.46%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79,200,321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不适用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A8607A" w:rsidTr="00B73122">
        <w:trPr>
          <w:trHeight w:val="240"/>
        </w:trPr>
        <w:tc>
          <w:tcPr>
            <w:tcW w:w="255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 w:rsidP="00B73122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天津水务集团有限公司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国有法人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13.01%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45,868,731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不适用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A8607A" w:rsidTr="00B73122">
        <w:trPr>
          <w:trHeight w:val="240"/>
        </w:trPr>
        <w:tc>
          <w:tcPr>
            <w:tcW w:w="255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 w:rsidP="00B73122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/>
                <w:sz w:val="18"/>
                <w:szCs w:val="18"/>
              </w:rPr>
              <w:t>赵裕承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境内自然人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5.68%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20,019,883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不适用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A8607A" w:rsidTr="00B73122">
        <w:trPr>
          <w:trHeight w:val="240"/>
        </w:trPr>
        <w:tc>
          <w:tcPr>
            <w:tcW w:w="255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 w:rsidP="00B73122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天津市水利经济管理办公室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国有法人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4.82%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16,990,862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不适用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A8607A" w:rsidTr="00B73122">
        <w:trPr>
          <w:trHeight w:val="240"/>
        </w:trPr>
        <w:tc>
          <w:tcPr>
            <w:tcW w:w="255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 w:rsidP="00B73122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石家庄合力投资咨询中心（有限合伙）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境内非国有法人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1.83%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6,444,444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冻结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6,444,444</w:t>
            </w:r>
          </w:p>
        </w:tc>
      </w:tr>
      <w:tr w:rsidR="00A8607A" w:rsidTr="00B73122">
        <w:trPr>
          <w:trHeight w:val="240"/>
        </w:trPr>
        <w:tc>
          <w:tcPr>
            <w:tcW w:w="255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 w:rsidP="00B73122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/>
                <w:sz w:val="18"/>
                <w:szCs w:val="18"/>
              </w:rPr>
              <w:t>朱兵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境内自然人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1.21%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4,284,700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不适用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A8607A" w:rsidTr="00B73122">
        <w:trPr>
          <w:trHeight w:val="240"/>
        </w:trPr>
        <w:tc>
          <w:tcPr>
            <w:tcW w:w="255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 w:rsidP="00B73122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北京宏儒和</w:t>
            </w:r>
            <w:proofErr w:type="gramStart"/>
            <w:r>
              <w:rPr>
                <w:rFonts w:ascii="宋体" w:eastAsia="宋体" w:hAnsi="宋体" w:cs="宋体"/>
                <w:sz w:val="18"/>
                <w:szCs w:val="18"/>
              </w:rPr>
              <w:t>愉</w:t>
            </w:r>
            <w:proofErr w:type="gramEnd"/>
            <w:r>
              <w:rPr>
                <w:rFonts w:ascii="宋体" w:eastAsia="宋体" w:hAnsi="宋体" w:cs="宋体"/>
                <w:sz w:val="18"/>
                <w:szCs w:val="18"/>
              </w:rPr>
              <w:t>投资管理有限公司－苏州弘德源投资管理中心（有限合伙）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其他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0.83%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2,911,900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不适用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A8607A" w:rsidTr="00B73122">
        <w:trPr>
          <w:trHeight w:val="240"/>
        </w:trPr>
        <w:tc>
          <w:tcPr>
            <w:tcW w:w="255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 w:rsidP="00B73122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/>
                <w:sz w:val="18"/>
                <w:szCs w:val="18"/>
              </w:rPr>
              <w:t>万冬华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境内自然人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0.67%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2,352,700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不适用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A8607A" w:rsidTr="00B73122">
        <w:trPr>
          <w:trHeight w:val="240"/>
        </w:trPr>
        <w:tc>
          <w:tcPr>
            <w:tcW w:w="255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 w:rsidP="00B73122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吴军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境内自然人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0.62%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2,170,000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不适用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A8607A" w:rsidTr="00B73122">
        <w:trPr>
          <w:trHeight w:val="240"/>
        </w:trPr>
        <w:tc>
          <w:tcPr>
            <w:tcW w:w="255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Default="00436B03" w:rsidP="00B73122">
            <w:pPr>
              <w:spacing w:line="240" w:lineRule="exact"/>
              <w:rPr>
                <w:rFonts w:ascii="宋体" w:eastAsia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/>
                <w:sz w:val="18"/>
                <w:szCs w:val="18"/>
              </w:rPr>
              <w:t>李艳森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境内自然人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0.56%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1,991,300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不适用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 w:rsidP="00B73122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A8607A">
        <w:trPr>
          <w:trHeight w:val="240"/>
        </w:trPr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上述股东关联关系或一致行动的说明</w:t>
            </w:r>
          </w:p>
        </w:tc>
        <w:tc>
          <w:tcPr>
            <w:tcW w:w="7497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兴津公司与水务集团</w:t>
            </w:r>
            <w:proofErr w:type="gramStart"/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为一致</w:t>
            </w:r>
            <w:proofErr w:type="gramEnd"/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行动人，与其他股东不属于一致行动人。本公司未知其他股东之间是否存在关联关系，也未知其他股东是否属于一致行动人。</w:t>
            </w:r>
          </w:p>
        </w:tc>
      </w:tr>
      <w:tr w:rsidR="00A8607A">
        <w:trPr>
          <w:trHeight w:val="240"/>
        </w:trPr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:rsidR="00A8607A" w:rsidRPr="00B73122" w:rsidRDefault="00436B03">
            <w:pPr>
              <w:spacing w:before="40" w:after="40"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参与融资融券业务股东情况说明（如有）</w:t>
            </w:r>
          </w:p>
        </w:tc>
        <w:tc>
          <w:tcPr>
            <w:tcW w:w="7497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8607A" w:rsidRPr="00B73122" w:rsidRDefault="00436B03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3122">
              <w:rPr>
                <w:rFonts w:ascii="Times New Roman" w:eastAsia="宋体" w:hAnsi="Times New Roman" w:cs="Times New Roman"/>
                <w:sz w:val="18"/>
                <w:szCs w:val="18"/>
              </w:rPr>
              <w:t>无</w:t>
            </w:r>
          </w:p>
        </w:tc>
      </w:tr>
    </w:tbl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持股5%以上股东、前10名股东及前10名无限</w:t>
      </w:r>
      <w:proofErr w:type="gramStart"/>
      <w:r>
        <w:rPr>
          <w:rFonts w:ascii="宋体" w:eastAsia="宋体" w:hAnsi="宋体" w:cs="宋体"/>
          <w:sz w:val="18"/>
          <w:szCs w:val="18"/>
        </w:rPr>
        <w:t>售流通</w:t>
      </w:r>
      <w:proofErr w:type="gramEnd"/>
      <w:r>
        <w:rPr>
          <w:rFonts w:ascii="宋体" w:eastAsia="宋体" w:hAnsi="宋体" w:cs="宋体"/>
          <w:sz w:val="18"/>
          <w:szCs w:val="18"/>
        </w:rPr>
        <w:t>股股东参与转融通业务出借股份情况</w:t>
      </w:r>
    </w:p>
    <w:p w:rsidR="00A8607A" w:rsidRDefault="00436B03">
      <w:pPr>
        <w:spacing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 xml:space="preserve">□适用 </w:t>
      </w:r>
      <w:r>
        <w:rPr>
          <w:rFonts w:ascii="宋体" w:eastAsia="宋体" w:hAnsi="宋体" w:cs="宋体"/>
          <w:sz w:val="18"/>
          <w:szCs w:val="18"/>
        </w:rPr>
        <w:sym w:font="Wingdings 2" w:char="F052"/>
      </w:r>
      <w:r>
        <w:rPr>
          <w:rFonts w:ascii="宋体" w:eastAsia="宋体" w:hAnsi="宋体" w:cs="宋体"/>
          <w:sz w:val="18"/>
          <w:szCs w:val="18"/>
        </w:rPr>
        <w:t>不适用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前10名股东及前10名无限</w:t>
      </w:r>
      <w:proofErr w:type="gramStart"/>
      <w:r>
        <w:rPr>
          <w:rFonts w:ascii="宋体" w:eastAsia="宋体" w:hAnsi="宋体" w:cs="宋体"/>
          <w:sz w:val="18"/>
          <w:szCs w:val="18"/>
        </w:rPr>
        <w:t>售流通</w:t>
      </w:r>
      <w:proofErr w:type="gramEnd"/>
      <w:r>
        <w:rPr>
          <w:rFonts w:ascii="宋体" w:eastAsia="宋体" w:hAnsi="宋体" w:cs="宋体"/>
          <w:sz w:val="18"/>
          <w:szCs w:val="18"/>
        </w:rPr>
        <w:t>股股东因转融通出借/归还原因导致较上期发生变化</w:t>
      </w:r>
    </w:p>
    <w:p w:rsidR="00A8607A" w:rsidRDefault="00436B03">
      <w:pPr>
        <w:spacing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 xml:space="preserve">□适用 </w:t>
      </w:r>
      <w:r>
        <w:rPr>
          <w:rFonts w:ascii="宋体" w:eastAsia="宋体" w:hAnsi="宋体" w:cs="宋体"/>
          <w:sz w:val="18"/>
          <w:szCs w:val="18"/>
        </w:rPr>
        <w:sym w:font="Wingdings 2" w:char="F052"/>
      </w:r>
      <w:r>
        <w:rPr>
          <w:rFonts w:ascii="宋体" w:eastAsia="宋体" w:hAnsi="宋体" w:cs="宋体"/>
          <w:sz w:val="18"/>
          <w:szCs w:val="18"/>
        </w:rPr>
        <w:t>不适用</w:t>
      </w:r>
    </w:p>
    <w:p w:rsidR="00A8607A" w:rsidRDefault="00436B03">
      <w:pPr>
        <w:keepNext/>
        <w:keepLines/>
        <w:spacing w:before="300" w:after="300" w:line="280" w:lineRule="exact"/>
        <w:outlineLvl w:val="3"/>
        <w:rPr>
          <w:rFonts w:ascii="宋体" w:eastAsia="宋体" w:hAnsi="宋体" w:cs="宋体"/>
          <w:b/>
          <w:bCs/>
          <w:sz w:val="18"/>
          <w:szCs w:val="18"/>
        </w:rPr>
      </w:pPr>
      <w:bookmarkStart w:id="14" w:name="_Toc988898"/>
      <w:r>
        <w:rPr>
          <w:rFonts w:ascii="宋体" w:eastAsia="宋体" w:hAnsi="宋体" w:cs="宋体"/>
          <w:b/>
          <w:bCs/>
          <w:sz w:val="18"/>
          <w:szCs w:val="18"/>
        </w:rPr>
        <w:t>（2） 公司优先股股东总数及前10名优先股股东持股情况表</w:t>
      </w:r>
      <w:bookmarkEnd w:id="14"/>
    </w:p>
    <w:p w:rsidR="00A8607A" w:rsidRDefault="00436B03">
      <w:pPr>
        <w:spacing w:before="40" w:after="4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 xml:space="preserve">□适用 </w:t>
      </w:r>
      <w:r>
        <w:rPr>
          <w:rFonts w:ascii="宋体" w:eastAsia="宋体" w:hAnsi="宋体" w:cs="宋体"/>
          <w:sz w:val="18"/>
          <w:szCs w:val="18"/>
        </w:rPr>
        <w:sym w:font="Wingdings 2" w:char="F052"/>
      </w:r>
      <w:r>
        <w:rPr>
          <w:rFonts w:ascii="宋体" w:eastAsia="宋体" w:hAnsi="宋体" w:cs="宋体"/>
          <w:sz w:val="18"/>
          <w:szCs w:val="18"/>
        </w:rPr>
        <w:t>不适用</w:t>
      </w:r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公司报告期无优先股股东持股情况。</w:t>
      </w:r>
    </w:p>
    <w:p w:rsidR="00A8607A" w:rsidRDefault="00436B03">
      <w:pPr>
        <w:keepNext/>
        <w:keepLines/>
        <w:spacing w:before="300" w:after="300" w:line="280" w:lineRule="exact"/>
        <w:outlineLvl w:val="3"/>
        <w:rPr>
          <w:rFonts w:ascii="宋体" w:eastAsia="宋体" w:hAnsi="宋体" w:cs="宋体"/>
          <w:b/>
          <w:bCs/>
          <w:sz w:val="18"/>
          <w:szCs w:val="18"/>
        </w:rPr>
      </w:pPr>
      <w:bookmarkStart w:id="15" w:name="_Toc988899"/>
      <w:r>
        <w:rPr>
          <w:rFonts w:ascii="宋体" w:eastAsia="宋体" w:hAnsi="宋体" w:cs="宋体"/>
          <w:b/>
          <w:bCs/>
          <w:sz w:val="18"/>
          <w:szCs w:val="18"/>
        </w:rPr>
        <w:lastRenderedPageBreak/>
        <w:t>（3） 以方框图形式披露公司与实际控制人之间的产权及控制关系</w:t>
      </w:r>
      <w:bookmarkEnd w:id="15"/>
    </w:p>
    <w:p w:rsidR="00A8607A" w:rsidRDefault="00436B03" w:rsidP="00B73122">
      <w:pPr>
        <w:spacing w:before="40" w:after="40" w:line="0" w:lineRule="atLeast"/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>
            <wp:extent cx="3429000" cy="3429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jpg"/>
                    <pic:cNvPicPr/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607A" w:rsidRDefault="00436B03">
      <w:pPr>
        <w:pStyle w:val="3"/>
        <w:spacing w:line="280" w:lineRule="exact"/>
        <w:jc w:val="left"/>
        <w:rPr>
          <w:rFonts w:ascii="宋体" w:hAnsi="宋体" w:cs="宋体"/>
          <w:b/>
          <w:bCs/>
        </w:rPr>
      </w:pPr>
      <w:bookmarkStart w:id="16" w:name="_Toc988900"/>
      <w:r>
        <w:rPr>
          <w:rFonts w:ascii="宋体" w:hAnsi="宋体" w:cs="宋体"/>
          <w:b/>
          <w:bCs/>
        </w:rPr>
        <w:t>5、在年度报告批准报出日存续的债券情况</w:t>
      </w:r>
      <w:bookmarkEnd w:id="16"/>
    </w:p>
    <w:p w:rsidR="00A8607A" w:rsidRDefault="00436B03">
      <w:pPr>
        <w:spacing w:before="100" w:after="100" w:line="240" w:lineRule="exac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 xml:space="preserve">□适用 </w:t>
      </w:r>
      <w:r>
        <w:rPr>
          <w:rFonts w:ascii="宋体" w:eastAsia="宋体" w:hAnsi="宋体" w:cs="宋体"/>
          <w:sz w:val="18"/>
          <w:szCs w:val="18"/>
        </w:rPr>
        <w:sym w:font="Wingdings 2" w:char="F052"/>
      </w:r>
      <w:r>
        <w:rPr>
          <w:rFonts w:ascii="宋体" w:eastAsia="宋体" w:hAnsi="宋体" w:cs="宋体"/>
          <w:sz w:val="18"/>
          <w:szCs w:val="18"/>
        </w:rPr>
        <w:t>不适用</w:t>
      </w:r>
    </w:p>
    <w:p w:rsidR="00A8607A" w:rsidRDefault="00436B03">
      <w:pPr>
        <w:pStyle w:val="2"/>
        <w:spacing w:before="300" w:after="300" w:line="320" w:lineRule="exact"/>
        <w:rPr>
          <w:rFonts w:ascii="宋体" w:eastAsia="宋体" w:hAnsi="宋体" w:cs="宋体"/>
          <w:b/>
          <w:bCs/>
          <w:sz w:val="24"/>
          <w:szCs w:val="24"/>
        </w:rPr>
      </w:pPr>
      <w:bookmarkStart w:id="17" w:name="_Toc988901"/>
      <w:r>
        <w:rPr>
          <w:rFonts w:ascii="宋体" w:eastAsia="宋体" w:hAnsi="宋体" w:cs="宋体"/>
          <w:b/>
          <w:bCs/>
          <w:sz w:val="24"/>
          <w:szCs w:val="24"/>
        </w:rPr>
        <w:t>三、重要事项</w:t>
      </w:r>
      <w:bookmarkEnd w:id="17"/>
    </w:p>
    <w:p w:rsidR="00436B03" w:rsidRDefault="00436B03">
      <w:pPr>
        <w:pStyle w:val="a3"/>
        <w:divId w:val="1143308202"/>
        <w:rPr>
          <w:sz w:val="18"/>
          <w:szCs w:val="18"/>
        </w:rPr>
      </w:pPr>
      <w:r>
        <w:rPr>
          <w:rFonts w:hint="eastAsia"/>
          <w:sz w:val="18"/>
          <w:szCs w:val="18"/>
        </w:rPr>
        <w:t>无</w:t>
      </w:r>
    </w:p>
    <w:sectPr w:rsidR="00436B03">
      <w:headerReference w:type="default" r:id="rId7"/>
      <w:footerReference w:type="default" r:id="rId8"/>
      <w:pgSz w:w="11905" w:h="16840"/>
      <w:pgMar w:top="850" w:right="1134" w:bottom="850" w:left="1134" w:header="850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57B8" w:rsidRDefault="009A57B8">
      <w:r>
        <w:separator/>
      </w:r>
    </w:p>
  </w:endnote>
  <w:endnote w:type="continuationSeparator" w:id="0">
    <w:p w:rsidR="009A57B8" w:rsidRDefault="009A5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07A" w:rsidRDefault="00436B03">
    <w:pPr>
      <w:pStyle w:val="fotter1"/>
    </w:pPr>
    <w:r>
      <w:fldChar w:fldCharType="begin"/>
    </w:r>
    <w:r>
      <w:instrText>PAGE   \* MERGEFORMAT</w:instrText>
    </w:r>
    <w:r>
      <w:fldChar w:fldCharType="separate"/>
    </w:r>
    <w:r w:rsidR="005D66FD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57B8" w:rsidRDefault="009A57B8">
      <w:r>
        <w:separator/>
      </w:r>
    </w:p>
  </w:footnote>
  <w:footnote w:type="continuationSeparator" w:id="0">
    <w:p w:rsidR="009A57B8" w:rsidRDefault="009A57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07A" w:rsidRDefault="00436B03">
    <w:pPr>
      <w:pStyle w:val="Header1"/>
      <w:pBdr>
        <w:bottom w:val="single" w:sz="6" w:space="1" w:color="auto"/>
      </w:pBdr>
    </w:pPr>
    <w:r>
      <w:t>渤海水业股份有限公司2024年年度报告摘要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8607A"/>
    <w:rsid w:val="00047073"/>
    <w:rsid w:val="00436B03"/>
    <w:rsid w:val="005D66FD"/>
    <w:rsid w:val="009A57B8"/>
    <w:rsid w:val="00A8607A"/>
    <w:rsid w:val="00B7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2785C0-86E4-45E4-896C-9CEB9D950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center"/>
    </w:pPr>
    <w:rPr>
      <w:rFonts w:ascii="仿宋" w:eastAsia="仿宋"/>
      <w:szCs w:val="21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3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442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王梓</cp:lastModifiedBy>
  <cp:revision>3</cp:revision>
  <dcterms:created xsi:type="dcterms:W3CDTF">2025-04-23T12:32:00Z</dcterms:created>
  <dcterms:modified xsi:type="dcterms:W3CDTF">2025-04-24T05:49:00Z</dcterms:modified>
</cp:coreProperties>
</file>